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A393" w14:textId="1063A74A" w:rsidR="00B53FB4" w:rsidRPr="00BF0451" w:rsidRDefault="00B53FB4" w:rsidP="00242171">
      <w:pPr>
        <w:pStyle w:val="ListParagraph"/>
        <w:suppressAutoHyphens/>
        <w:autoSpaceDN w:val="0"/>
        <w:spacing w:line="254" w:lineRule="auto"/>
        <w:jc w:val="center"/>
        <w:rPr>
          <w:rFonts w:asciiTheme="majorHAnsi" w:eastAsia="Calibri" w:hAnsiTheme="majorHAnsi" w:cs="Times New Roman"/>
          <w:b/>
          <w:bCs/>
          <w:color w:val="35ABB2"/>
          <w:kern w:val="0"/>
          <w:sz w:val="32"/>
          <w:szCs w:val="32"/>
          <w:lang w:val="el-GR" w:bidi="ar-SA"/>
          <w14:ligatures w14:val="none"/>
        </w:rPr>
      </w:pPr>
      <w:r w:rsidRPr="00BF0451">
        <w:rPr>
          <w:rFonts w:asciiTheme="majorHAnsi" w:eastAsia="Calibri" w:hAnsiTheme="majorHAnsi" w:cs="Times New Roman"/>
          <w:b/>
          <w:bCs/>
          <w:color w:val="35ABB2"/>
          <w:kern w:val="0"/>
          <w:sz w:val="32"/>
          <w:szCs w:val="32"/>
          <w:lang w:val="el-GR" w:bidi="ar-SA"/>
          <w14:ligatures w14:val="none"/>
        </w:rPr>
        <w:t>«</w:t>
      </w:r>
      <w:r w:rsidR="00242171" w:rsidRPr="00242171">
        <w:rPr>
          <w:rFonts w:asciiTheme="majorHAnsi" w:eastAsia="Calibri" w:hAnsiTheme="majorHAnsi" w:cs="Times New Roman"/>
          <w:b/>
          <w:bCs/>
          <w:color w:val="35ABB2"/>
          <w:kern w:val="0"/>
          <w:sz w:val="32"/>
          <w:szCs w:val="32"/>
          <w:lang w:val="el-GR" w:bidi="ar-SA"/>
          <w14:ligatures w14:val="none"/>
        </w:rPr>
        <w:t>Δημιουργία και Ενίσχυση</w:t>
      </w:r>
      <w:r w:rsidR="00242171">
        <w:rPr>
          <w:rFonts w:asciiTheme="majorHAnsi" w:eastAsia="Calibri" w:hAnsiTheme="majorHAnsi" w:cs="Times New Roman"/>
          <w:b/>
          <w:bCs/>
          <w:color w:val="35ABB2"/>
          <w:kern w:val="0"/>
          <w:sz w:val="32"/>
          <w:szCs w:val="32"/>
          <w:lang w:val="el-GR" w:bidi="ar-SA"/>
          <w14:ligatures w14:val="none"/>
        </w:rPr>
        <w:t xml:space="preserve"> </w:t>
      </w:r>
      <w:r w:rsidR="00242171" w:rsidRPr="00242171">
        <w:rPr>
          <w:rFonts w:asciiTheme="majorHAnsi" w:eastAsia="Calibri" w:hAnsiTheme="majorHAnsi" w:cs="Times New Roman"/>
          <w:b/>
          <w:bCs/>
          <w:color w:val="35ABB2"/>
          <w:kern w:val="0"/>
          <w:sz w:val="32"/>
          <w:szCs w:val="32"/>
          <w:lang w:val="el-GR" w:bidi="ar-SA"/>
          <w14:ligatures w14:val="none"/>
        </w:rPr>
        <w:t>Startup &amp; Spin-off επιχειρήσεων</w:t>
      </w:r>
      <w:r w:rsidRPr="00BF0451">
        <w:rPr>
          <w:rFonts w:asciiTheme="majorHAnsi" w:eastAsia="Calibri" w:hAnsiTheme="majorHAnsi" w:cs="Times New Roman"/>
          <w:b/>
          <w:bCs/>
          <w:color w:val="35ABB2"/>
          <w:kern w:val="0"/>
          <w:sz w:val="32"/>
          <w:szCs w:val="32"/>
          <w:lang w:val="el-GR" w:bidi="ar-SA"/>
          <w14:ligatures w14:val="none"/>
        </w:rPr>
        <w:t>»</w:t>
      </w:r>
    </w:p>
    <w:p w14:paraId="6497FABB" w14:textId="77777777" w:rsidR="00352DFF" w:rsidRPr="008D03AF" w:rsidRDefault="00352DFF" w:rsidP="00055CA0">
      <w:pPr>
        <w:pStyle w:val="ListParagraph"/>
        <w:suppressAutoHyphens/>
        <w:autoSpaceDN w:val="0"/>
        <w:spacing w:line="254" w:lineRule="auto"/>
        <w:jc w:val="center"/>
        <w:rPr>
          <w:rFonts w:asciiTheme="majorHAnsi" w:eastAsia="Calibri" w:hAnsiTheme="majorHAnsi" w:cs="Times New Roman"/>
          <w:color w:val="35ABB2"/>
          <w:kern w:val="0"/>
          <w:sz w:val="22"/>
          <w:szCs w:val="22"/>
          <w:lang w:val="el-GR" w:bidi="ar-SA"/>
          <w14:ligatures w14:val="none"/>
        </w:rPr>
      </w:pPr>
    </w:p>
    <w:p w14:paraId="34F04168" w14:textId="381032AA" w:rsidR="00E4120E" w:rsidRPr="00055CA0" w:rsidRDefault="00E4120E" w:rsidP="00055CA0">
      <w:pPr>
        <w:pStyle w:val="ListParagraph"/>
        <w:suppressAutoHyphens/>
        <w:autoSpaceDN w:val="0"/>
        <w:spacing w:line="254" w:lineRule="auto"/>
        <w:jc w:val="center"/>
        <w:rPr>
          <w:rFonts w:asciiTheme="majorHAnsi" w:eastAsia="Calibri" w:hAnsiTheme="majorHAnsi" w:cs="Times New Roman"/>
          <w:b/>
          <w:bCs/>
          <w:color w:val="35ABB2"/>
          <w:kern w:val="0"/>
          <w:sz w:val="32"/>
          <w:szCs w:val="32"/>
          <w:lang w:val="el-GR" w:bidi="ar-SA"/>
          <w14:ligatures w14:val="none"/>
        </w:rPr>
      </w:pPr>
      <w:r w:rsidRPr="00055CA0">
        <w:rPr>
          <w:rFonts w:asciiTheme="majorHAnsi" w:eastAsia="Calibri" w:hAnsiTheme="majorHAnsi" w:cs="Times New Roman"/>
          <w:b/>
          <w:bCs/>
          <w:color w:val="35ABB2"/>
          <w:kern w:val="0"/>
          <w:sz w:val="32"/>
          <w:szCs w:val="32"/>
          <w:lang w:val="el-GR" w:bidi="ar-SA"/>
          <w14:ligatures w14:val="none"/>
        </w:rPr>
        <w:t xml:space="preserve">Επιλέξιμες Δαπάνες </w:t>
      </w:r>
      <w:r w:rsidR="00352DFF" w:rsidRPr="00055CA0">
        <w:rPr>
          <w:rFonts w:asciiTheme="majorHAnsi" w:eastAsia="Calibri" w:hAnsiTheme="majorHAnsi" w:cs="Times New Roman"/>
          <w:b/>
          <w:bCs/>
          <w:color w:val="35ABB2"/>
          <w:kern w:val="0"/>
          <w:sz w:val="32"/>
          <w:szCs w:val="32"/>
          <w:lang w:val="el-GR" w:bidi="ar-SA"/>
          <w14:ligatures w14:val="none"/>
        </w:rPr>
        <w:t>Αναλυτικά</w:t>
      </w:r>
    </w:p>
    <w:p w14:paraId="00306E9D" w14:textId="77777777" w:rsidR="00C11CB9" w:rsidRPr="008D03AF" w:rsidRDefault="00C11CB9" w:rsidP="008E7010">
      <w:pPr>
        <w:pStyle w:val="Default"/>
        <w:spacing w:line="360" w:lineRule="auto"/>
        <w:jc w:val="both"/>
        <w:rPr>
          <w:rFonts w:asciiTheme="majorHAnsi" w:eastAsia="Calibri" w:hAnsiTheme="majorHAnsi" w:cs="Times New Roman"/>
          <w:b/>
          <w:bCs/>
          <w:color w:val="35ABB2"/>
          <w:sz w:val="22"/>
          <w:szCs w:val="22"/>
          <w:lang w:val="el-GR" w:eastAsia="en-US" w:bidi="ar-SA"/>
        </w:rPr>
      </w:pPr>
    </w:p>
    <w:p w14:paraId="15A0F92B" w14:textId="27079368" w:rsidR="00352D93" w:rsidRPr="00054DAF" w:rsidRDefault="00054DAF" w:rsidP="00054DAF">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054DAF">
        <w:rPr>
          <w:rFonts w:asciiTheme="majorHAnsi" w:eastAsia="Calibri" w:hAnsiTheme="majorHAnsi" w:cs="Times New Roman"/>
          <w:b/>
          <w:bCs/>
          <w:color w:val="35ABB2"/>
          <w:kern w:val="0"/>
          <w:sz w:val="26"/>
          <w:szCs w:val="26"/>
          <w:lang w:val="el-GR" w:bidi="ar-SA"/>
          <w14:ligatures w14:val="none"/>
        </w:rPr>
        <w:t>Δαπάνες προσωπικού – Έως 80% του επιχορηγούμενου Π/Υ.</w:t>
      </w:r>
    </w:p>
    <w:p w14:paraId="4B9C7CFD" w14:textId="6B8C6251" w:rsidR="00AE285A" w:rsidRDefault="00AE285A" w:rsidP="00AE285A">
      <w:pPr>
        <w:pStyle w:val="Default"/>
        <w:spacing w:line="360" w:lineRule="auto"/>
        <w:ind w:left="284"/>
        <w:jc w:val="both"/>
        <w:rPr>
          <w:rFonts w:asciiTheme="majorHAnsi" w:hAnsiTheme="majorHAnsi"/>
          <w:color w:val="auto"/>
          <w:sz w:val="22"/>
          <w:szCs w:val="22"/>
          <w:lang w:val="el-GR"/>
        </w:rPr>
      </w:pPr>
      <w:r w:rsidRPr="00AE285A">
        <w:rPr>
          <w:rFonts w:asciiTheme="majorHAnsi" w:hAnsiTheme="majorHAnsi"/>
          <w:color w:val="auto"/>
          <w:sz w:val="22"/>
          <w:szCs w:val="22"/>
          <w:lang w:val="el-GR"/>
        </w:rPr>
        <w:t>Στην περίπτωση που το απασχολούμενο στην πράξη φυσικό πρόσωπο είναι ταυτόχρονα και εσωτερικός εταιρικός παράγοντας του νομικού προσώπου (π.χ. μέτοχος, εταίρος, διαχειριστής, μέλος Δ.Σ.), οι δαπάνες προσωπικού είναι επιλέξιμες εφόσον τηρούνται οι αυξημένες προϋποθέσεις έγκυρης σύναψης σύμβασης εργασιακής απασχόλησης, υπό την μορφή αποκλειστικά και μόνο της σύμβασης εξαρτημένης εργασίας και της σύμβασης μίσθωσης έργου, σύμφωνα με τους όρους που τίθενται στο νομοθετικό πλαίσιο της αντίστοιχης εταιρικής μορφής (πχ βλ. για ΑΕ άρθρα 99-101 του Ν.4548/2018 και για ΙΚΕ άρθρο 95 του Ν.4072/2012). Επισημαίνεται ότι η προσφορά εργασίας πρέπει να αφορά ειδικά στην υλοποίηση του εγκεκριμένου έργου και όχι σε διαχειριστικές αμοιβές.</w:t>
      </w:r>
    </w:p>
    <w:p w14:paraId="40D03684" w14:textId="77777777" w:rsidR="00AE285A" w:rsidRPr="00AE285A" w:rsidRDefault="00AE285A" w:rsidP="00AE285A">
      <w:pPr>
        <w:pStyle w:val="Default"/>
        <w:spacing w:line="360" w:lineRule="auto"/>
        <w:ind w:left="284"/>
        <w:jc w:val="both"/>
        <w:rPr>
          <w:rFonts w:asciiTheme="majorHAnsi" w:hAnsiTheme="majorHAnsi"/>
          <w:color w:val="auto"/>
          <w:sz w:val="22"/>
          <w:szCs w:val="22"/>
          <w:lang w:val="el-GR"/>
        </w:rPr>
      </w:pPr>
    </w:p>
    <w:p w14:paraId="616AA3C3" w14:textId="0EE02B9B" w:rsidR="00352D93" w:rsidRDefault="007C41B2" w:rsidP="00352D93">
      <w:pPr>
        <w:pStyle w:val="Default"/>
        <w:numPr>
          <w:ilvl w:val="0"/>
          <w:numId w:val="2"/>
        </w:numPr>
        <w:spacing w:line="360" w:lineRule="auto"/>
        <w:ind w:left="567" w:hanging="283"/>
        <w:jc w:val="both"/>
        <w:rPr>
          <w:rFonts w:asciiTheme="majorHAnsi" w:hAnsiTheme="majorHAnsi"/>
          <w:b/>
          <w:bCs/>
          <w:color w:val="auto"/>
          <w:sz w:val="22"/>
          <w:szCs w:val="22"/>
          <w:lang w:val="el-GR"/>
        </w:rPr>
      </w:pPr>
      <w:r w:rsidRPr="007C41B2">
        <w:rPr>
          <w:rFonts w:asciiTheme="majorHAnsi" w:hAnsiTheme="majorHAnsi"/>
          <w:b/>
          <w:bCs/>
          <w:color w:val="auto"/>
          <w:sz w:val="22"/>
          <w:szCs w:val="22"/>
          <w:lang w:val="el-GR"/>
        </w:rPr>
        <w:t>Δαπάνες Προσωπικού με σύμβαση μίσθωσης έργου στο βαθμό που απασχολούνται στο έργο</w:t>
      </w:r>
      <w:r w:rsidR="00352D93">
        <w:rPr>
          <w:rFonts w:asciiTheme="majorHAnsi" w:hAnsiTheme="majorHAnsi"/>
          <w:b/>
          <w:bCs/>
          <w:color w:val="auto"/>
          <w:sz w:val="22"/>
          <w:szCs w:val="22"/>
          <w:lang w:val="el-GR"/>
        </w:rPr>
        <w:t xml:space="preserve"> – Έως </w:t>
      </w:r>
      <w:r>
        <w:rPr>
          <w:rFonts w:asciiTheme="majorHAnsi" w:hAnsiTheme="majorHAnsi"/>
          <w:b/>
          <w:bCs/>
          <w:color w:val="auto"/>
          <w:sz w:val="22"/>
          <w:szCs w:val="22"/>
          <w:lang w:val="el-GR"/>
        </w:rPr>
        <w:t>3</w:t>
      </w:r>
      <w:r w:rsidR="00352D93">
        <w:rPr>
          <w:rFonts w:asciiTheme="majorHAnsi" w:hAnsiTheme="majorHAnsi"/>
          <w:b/>
          <w:bCs/>
          <w:color w:val="auto"/>
          <w:sz w:val="22"/>
          <w:szCs w:val="22"/>
          <w:lang w:val="el-GR"/>
        </w:rPr>
        <w:t>8</w:t>
      </w:r>
      <w:r>
        <w:rPr>
          <w:rFonts w:asciiTheme="majorHAnsi" w:hAnsiTheme="majorHAnsi"/>
          <w:b/>
          <w:bCs/>
          <w:color w:val="auto"/>
          <w:sz w:val="22"/>
          <w:szCs w:val="22"/>
          <w:lang w:val="el-GR"/>
        </w:rPr>
        <w:t>.700€ / Φυσικό Πρόσωπο</w:t>
      </w:r>
      <w:r w:rsidR="00352D93">
        <w:rPr>
          <w:rFonts w:asciiTheme="majorHAnsi" w:hAnsiTheme="majorHAnsi"/>
          <w:b/>
          <w:bCs/>
          <w:color w:val="auto"/>
          <w:sz w:val="22"/>
          <w:szCs w:val="22"/>
          <w:lang w:val="el-GR"/>
        </w:rPr>
        <w:t xml:space="preserve"> </w:t>
      </w:r>
    </w:p>
    <w:p w14:paraId="53195A50" w14:textId="02CC6136" w:rsidR="00352D93" w:rsidRDefault="00BB7F16" w:rsidP="00BB7F16">
      <w:pPr>
        <w:pStyle w:val="Default"/>
        <w:spacing w:line="360" w:lineRule="auto"/>
        <w:ind w:left="284"/>
        <w:jc w:val="both"/>
        <w:rPr>
          <w:rFonts w:asciiTheme="majorHAnsi" w:hAnsiTheme="majorHAnsi"/>
          <w:color w:val="auto"/>
          <w:sz w:val="22"/>
          <w:szCs w:val="22"/>
          <w:lang w:val="el-GR"/>
        </w:rPr>
      </w:pPr>
      <w:r w:rsidRPr="00BB7F16">
        <w:rPr>
          <w:rFonts w:asciiTheme="majorHAnsi" w:hAnsiTheme="majorHAnsi"/>
          <w:color w:val="auto"/>
          <w:sz w:val="22"/>
          <w:szCs w:val="22"/>
          <w:lang w:val="el-GR"/>
        </w:rPr>
        <w:t>Για τις δαπάνες προσωπικού ισχύουν οι κανόνες επιλεξιμότητας που αναφέρονται στην παράγραφο 3 του άρθρου 15 της ΥΑΕΚΕΔ.</w:t>
      </w:r>
      <w:r>
        <w:rPr>
          <w:rFonts w:asciiTheme="majorHAnsi" w:hAnsiTheme="majorHAnsi"/>
          <w:color w:val="auto"/>
          <w:sz w:val="22"/>
          <w:szCs w:val="22"/>
          <w:lang w:val="el-GR"/>
        </w:rPr>
        <w:t xml:space="preserve"> </w:t>
      </w:r>
      <w:r w:rsidRPr="00BB7F16">
        <w:rPr>
          <w:rFonts w:asciiTheme="majorHAnsi" w:hAnsiTheme="majorHAnsi"/>
          <w:color w:val="auto"/>
          <w:sz w:val="22"/>
          <w:szCs w:val="22"/>
          <w:lang w:val="el-GR"/>
        </w:rPr>
        <w:t>Φυσικά πρόσωπα που συμβάλλονται με τον Δικαιούχο με σύμβαση μίσθωσης έργου εντάσσονται στις άμεσες δαπάνες προσωπικού του Δικαιούχου για το χρονικό διάστημα της υλοποίησης της σύμβασης, υπό τις παρακάτω προϋποθέσεις:</w:t>
      </w:r>
    </w:p>
    <w:p w14:paraId="1D10D8B9" w14:textId="3C4793C5" w:rsidR="00A965A4" w:rsidRPr="00A965A4"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t>Στη σύμβαση προσδιορίζεται το συγκεκριμένο έργο που θα εκτελεστεί προσδιοριζόμενο σε σχέση με την πράξη, ο χρόνος εκτέλεσης και παράδοσης του, το συνολικό ποσό της αμοιβής του αντισυμβαλλόμενου φυσικού προσώπου, ο τόπος εκτέλεσης του έργου, καθώς και ότι το έργο συνδέεται αποκλειστικά με τις ανάγκες της πράξης για την οποία συνάπτεται.</w:t>
      </w:r>
    </w:p>
    <w:p w14:paraId="675E27E4" w14:textId="00B32E50" w:rsidR="00A965A4" w:rsidRPr="00A965A4"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t>Το φυσικό πρόσωπο εργάζεται υπό τις οδηγίες του Δικαιούχου στις εγκαταστάσεις του Δικαιούχου ή/και στον τόπο εκτέλεσης του έργου, αν είναι διαφορετικός. Η διάρκεια της σύμβασης δύναται να συμπίπτει ή να είναι μικρότερη από τη διάρκεια της πράξης και πάντως εντός του χρονοδιαγράμματος της πράξης.</w:t>
      </w:r>
    </w:p>
    <w:p w14:paraId="405B81CD" w14:textId="6E4DE869" w:rsidR="00A965A4" w:rsidRPr="00A965A4"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t>Το αποτέλεσμα της εργασίας ανήκει στον Δικαιούχο.</w:t>
      </w:r>
    </w:p>
    <w:p w14:paraId="48A80AF9" w14:textId="273093E1" w:rsidR="00A965A4" w:rsidRPr="00A965A4"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t>Η αμοιβή του φυσικού προσώπου, καθορίζεται με βάση τις χρονικές απαιτήσεις για την ολοκλήρωση του παρεχόμενου έργου και δεν είναι σημαντικά διαφορετική από αυτή που έχει ο Δικαιούχος για το προσωπικό του το οποίο εκτελεί παρόμοια καθήκοντα ή αν δεν έχει τέτοιο προσωπικό, από αυτή που απαντάται στην αγορά για παρόμοια απασχόληση, προσόντα και εμπειρία.</w:t>
      </w:r>
    </w:p>
    <w:p w14:paraId="00580BDB" w14:textId="25952745" w:rsidR="00A965A4" w:rsidRPr="00A965A4"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t>Η αμοιβή του φυσικού προσώπου πρέπει να συνδέεται άρρηκτα με τα στάδια υλοποίησης του έργου του. Ρήτρα καταβολής της αμοιβής τμηματικά κατά μήνα ή άλλο χρονικό όριο χωρίς συνάρτηση με την πρόοδο ή/και τα παραδοτέα του έργου του είναι μη επιλέξιμη.</w:t>
      </w:r>
    </w:p>
    <w:p w14:paraId="3FF6B038" w14:textId="7E29072C" w:rsidR="00352D93" w:rsidRDefault="00A965A4" w:rsidP="00A965A4">
      <w:pPr>
        <w:pStyle w:val="Default"/>
        <w:numPr>
          <w:ilvl w:val="0"/>
          <w:numId w:val="3"/>
        </w:numPr>
        <w:spacing w:line="360" w:lineRule="auto"/>
        <w:ind w:left="1134" w:hanging="425"/>
        <w:jc w:val="both"/>
        <w:rPr>
          <w:rFonts w:asciiTheme="majorHAnsi" w:hAnsiTheme="majorHAnsi"/>
          <w:color w:val="auto"/>
          <w:sz w:val="22"/>
          <w:szCs w:val="22"/>
          <w:lang w:val="el-GR"/>
        </w:rPr>
      </w:pPr>
      <w:r w:rsidRPr="00A965A4">
        <w:rPr>
          <w:rFonts w:asciiTheme="majorHAnsi" w:hAnsiTheme="majorHAnsi"/>
          <w:color w:val="auto"/>
          <w:sz w:val="22"/>
          <w:szCs w:val="22"/>
          <w:lang w:val="el-GR"/>
        </w:rPr>
        <w:lastRenderedPageBreak/>
        <w:t>Το αντικείμενο της σύμβασης δεν καλύπτει πάγιες και διαρκείς ανάγκες του Δικαιούχου. Απασχόληση του φυσικού προσώπου σε αντικείμενο άσχετο με εκείνο που περιγράφεται στη σύμβαση καθιστά τις δαπάνες της σύμβασης μη επιλέξιμες στο σύνολό τους.</w:t>
      </w:r>
    </w:p>
    <w:p w14:paraId="6C6E4B62" w14:textId="77777777" w:rsidR="007D2C63" w:rsidRDefault="007D2C63" w:rsidP="009D1B2B">
      <w:pPr>
        <w:pStyle w:val="Default"/>
        <w:spacing w:line="360" w:lineRule="auto"/>
        <w:jc w:val="both"/>
        <w:rPr>
          <w:rFonts w:asciiTheme="majorHAnsi" w:hAnsiTheme="majorHAnsi"/>
          <w:color w:val="auto"/>
          <w:sz w:val="22"/>
          <w:szCs w:val="22"/>
          <w:lang w:val="el-GR"/>
        </w:rPr>
      </w:pPr>
    </w:p>
    <w:p w14:paraId="4465670A" w14:textId="77777777" w:rsidR="007D2C63" w:rsidRPr="007D2C63" w:rsidRDefault="007D2C63" w:rsidP="007D2C63">
      <w:pPr>
        <w:pStyle w:val="Default"/>
        <w:spacing w:line="360" w:lineRule="auto"/>
        <w:ind w:left="284"/>
        <w:jc w:val="both"/>
        <w:rPr>
          <w:rFonts w:asciiTheme="majorHAnsi" w:hAnsiTheme="majorHAnsi"/>
          <w:color w:val="auto"/>
          <w:sz w:val="22"/>
          <w:szCs w:val="22"/>
          <w:lang w:val="el-GR"/>
        </w:rPr>
      </w:pPr>
      <w:r w:rsidRPr="007D2C63">
        <w:rPr>
          <w:rFonts w:asciiTheme="majorHAnsi" w:hAnsiTheme="majorHAnsi"/>
          <w:color w:val="auto"/>
          <w:sz w:val="22"/>
          <w:szCs w:val="22"/>
          <w:lang w:val="el-GR"/>
        </w:rPr>
        <w:t>Το μέγιστο επιλέξιμο κόστος ανά φυσικό πρόσωπο ανέρχεται στις 38.700€ εφόσον ο χρόνος απασχόλησης του στο έργο ανέρχεται στους 18 μήνες και αντιστοιχεί σε 1.720 ώρες εργασίας/έτος. Επομένως η ωριαία αποζημίωση δεν μπορεί να ξεπερνάει τα 15€.</w:t>
      </w:r>
    </w:p>
    <w:p w14:paraId="012ED6C2" w14:textId="77777777" w:rsidR="007D2C63" w:rsidRPr="007D2C63" w:rsidRDefault="007D2C63" w:rsidP="007D2C63">
      <w:pPr>
        <w:pStyle w:val="Default"/>
        <w:spacing w:line="360" w:lineRule="auto"/>
        <w:ind w:left="284"/>
        <w:jc w:val="both"/>
        <w:rPr>
          <w:rFonts w:asciiTheme="majorHAnsi" w:hAnsiTheme="majorHAnsi"/>
          <w:color w:val="auto"/>
          <w:sz w:val="22"/>
          <w:szCs w:val="22"/>
          <w:lang w:val="el-GR"/>
        </w:rPr>
      </w:pPr>
      <w:r w:rsidRPr="007D2C63">
        <w:rPr>
          <w:rFonts w:asciiTheme="majorHAnsi" w:hAnsiTheme="majorHAnsi"/>
          <w:color w:val="auto"/>
          <w:sz w:val="22"/>
          <w:szCs w:val="22"/>
          <w:lang w:val="el-GR"/>
        </w:rPr>
        <w:t>Για τις περιπτώσεις συμβάσεων μίσθωσης έργου στις δαπάνες συνυπολογίζεται και ο ΦΠΑ της σύμβασης έργου, εφόσον προβλέπεται και βαρύνει πραγματικά και οριστικά τον Δικαιούχο.</w:t>
      </w:r>
    </w:p>
    <w:p w14:paraId="152946CA" w14:textId="7CF18812" w:rsidR="007D2C63" w:rsidRPr="00454781" w:rsidRDefault="007D2C63" w:rsidP="007D2C63">
      <w:pPr>
        <w:pStyle w:val="Default"/>
        <w:spacing w:line="360" w:lineRule="auto"/>
        <w:ind w:left="284"/>
        <w:jc w:val="both"/>
        <w:rPr>
          <w:rFonts w:asciiTheme="majorHAnsi" w:hAnsiTheme="majorHAnsi"/>
          <w:color w:val="auto"/>
          <w:sz w:val="22"/>
          <w:szCs w:val="22"/>
          <w:lang w:val="el-GR"/>
        </w:rPr>
      </w:pPr>
      <w:r w:rsidRPr="007D2C63">
        <w:rPr>
          <w:rFonts w:asciiTheme="majorHAnsi" w:hAnsiTheme="majorHAnsi"/>
          <w:color w:val="auto"/>
          <w:sz w:val="22"/>
          <w:szCs w:val="22"/>
          <w:lang w:val="el-GR"/>
        </w:rPr>
        <w:t>Το προσωπικό του Δικαιούχου με σύμβαση εξαρτημένης εργασίας δεν επιτρέπεται να απασχολείται στην πράξη στη βάση σύμβασης μίσθωσης έργου.</w:t>
      </w:r>
    </w:p>
    <w:p w14:paraId="4E55D168" w14:textId="77777777" w:rsidR="00352D93" w:rsidRDefault="00352D93"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68878427" w14:textId="716C7514" w:rsidR="00661CB3" w:rsidRDefault="00661CB3" w:rsidP="00661CB3">
      <w:pPr>
        <w:pStyle w:val="Default"/>
        <w:numPr>
          <w:ilvl w:val="0"/>
          <w:numId w:val="2"/>
        </w:numPr>
        <w:spacing w:line="360" w:lineRule="auto"/>
        <w:ind w:left="567" w:hanging="283"/>
        <w:jc w:val="both"/>
        <w:rPr>
          <w:rFonts w:asciiTheme="majorHAnsi" w:hAnsiTheme="majorHAnsi"/>
          <w:b/>
          <w:bCs/>
          <w:color w:val="auto"/>
          <w:sz w:val="22"/>
          <w:szCs w:val="22"/>
          <w:lang w:val="el-GR"/>
        </w:rPr>
      </w:pPr>
      <w:r w:rsidRPr="00661CB3">
        <w:rPr>
          <w:rFonts w:asciiTheme="majorHAnsi" w:hAnsiTheme="majorHAnsi"/>
          <w:b/>
          <w:bCs/>
          <w:color w:val="auto"/>
          <w:sz w:val="22"/>
          <w:szCs w:val="22"/>
          <w:lang w:val="el-GR"/>
        </w:rPr>
        <w:t>Πλήρες Μισθολογικό Κόστος Νεοπροσλαμβανόμενου Προσωπικού</w:t>
      </w:r>
      <w:r>
        <w:rPr>
          <w:rFonts w:asciiTheme="majorHAnsi" w:hAnsiTheme="majorHAnsi"/>
          <w:b/>
          <w:bCs/>
          <w:color w:val="auto"/>
          <w:sz w:val="22"/>
          <w:szCs w:val="22"/>
          <w:lang w:val="el-GR"/>
        </w:rPr>
        <w:t xml:space="preserve"> – Έως </w:t>
      </w:r>
      <w:r>
        <w:rPr>
          <w:rFonts w:asciiTheme="majorHAnsi" w:hAnsiTheme="majorHAnsi"/>
          <w:b/>
          <w:bCs/>
          <w:color w:val="auto"/>
          <w:sz w:val="22"/>
          <w:szCs w:val="22"/>
          <w:lang w:val="el-GR"/>
        </w:rPr>
        <w:t>2.000€</w:t>
      </w:r>
      <w:r>
        <w:rPr>
          <w:rFonts w:asciiTheme="majorHAnsi" w:hAnsiTheme="majorHAnsi"/>
          <w:b/>
          <w:bCs/>
          <w:color w:val="auto"/>
          <w:sz w:val="22"/>
          <w:szCs w:val="22"/>
          <w:lang w:val="el-GR"/>
        </w:rPr>
        <w:t xml:space="preserve"> / </w:t>
      </w:r>
      <w:r w:rsidR="00F213A6">
        <w:rPr>
          <w:rFonts w:asciiTheme="majorHAnsi" w:hAnsiTheme="majorHAnsi"/>
          <w:b/>
          <w:bCs/>
          <w:color w:val="auto"/>
          <w:sz w:val="22"/>
          <w:szCs w:val="22"/>
          <w:lang w:val="el-GR"/>
        </w:rPr>
        <w:t>Μηνιαίο Μισθό</w:t>
      </w:r>
      <w:r>
        <w:rPr>
          <w:rFonts w:asciiTheme="majorHAnsi" w:hAnsiTheme="majorHAnsi"/>
          <w:b/>
          <w:bCs/>
          <w:color w:val="auto"/>
          <w:sz w:val="22"/>
          <w:szCs w:val="22"/>
          <w:lang w:val="el-GR"/>
        </w:rPr>
        <w:t xml:space="preserve"> </w:t>
      </w:r>
    </w:p>
    <w:p w14:paraId="3A1ADB4F" w14:textId="616B1A1C" w:rsidR="00F213A6" w:rsidRDefault="00F213A6" w:rsidP="00F213A6">
      <w:pPr>
        <w:pStyle w:val="Default"/>
        <w:numPr>
          <w:ilvl w:val="0"/>
          <w:numId w:val="2"/>
        </w:numPr>
        <w:spacing w:line="360" w:lineRule="auto"/>
        <w:ind w:left="567" w:hanging="283"/>
        <w:jc w:val="both"/>
        <w:rPr>
          <w:rFonts w:asciiTheme="majorHAnsi" w:hAnsiTheme="majorHAnsi"/>
          <w:b/>
          <w:bCs/>
          <w:color w:val="auto"/>
          <w:sz w:val="22"/>
          <w:szCs w:val="22"/>
          <w:lang w:val="el-GR"/>
        </w:rPr>
      </w:pPr>
      <w:r w:rsidRPr="00661CB3">
        <w:rPr>
          <w:rFonts w:asciiTheme="majorHAnsi" w:hAnsiTheme="majorHAnsi"/>
          <w:b/>
          <w:bCs/>
          <w:color w:val="auto"/>
          <w:sz w:val="22"/>
          <w:szCs w:val="22"/>
          <w:lang w:val="el-GR"/>
        </w:rPr>
        <w:t xml:space="preserve">Πλήρες Μισθολογικό Κόστος </w:t>
      </w:r>
      <w:r>
        <w:rPr>
          <w:rFonts w:asciiTheme="majorHAnsi" w:hAnsiTheme="majorHAnsi"/>
          <w:b/>
          <w:bCs/>
          <w:color w:val="auto"/>
          <w:sz w:val="22"/>
          <w:szCs w:val="22"/>
          <w:lang w:val="el-GR"/>
        </w:rPr>
        <w:t>Υφιστάμενου</w:t>
      </w:r>
      <w:r w:rsidRPr="00661CB3">
        <w:rPr>
          <w:rFonts w:asciiTheme="majorHAnsi" w:hAnsiTheme="majorHAnsi"/>
          <w:b/>
          <w:bCs/>
          <w:color w:val="auto"/>
          <w:sz w:val="22"/>
          <w:szCs w:val="22"/>
          <w:lang w:val="el-GR"/>
        </w:rPr>
        <w:t xml:space="preserve"> Προσωπικού</w:t>
      </w:r>
      <w:r>
        <w:rPr>
          <w:rFonts w:asciiTheme="majorHAnsi" w:hAnsiTheme="majorHAnsi"/>
          <w:b/>
          <w:bCs/>
          <w:color w:val="auto"/>
          <w:sz w:val="22"/>
          <w:szCs w:val="22"/>
          <w:lang w:val="el-GR"/>
        </w:rPr>
        <w:t xml:space="preserve"> – Έως 2.000€ / Μηνιαίο Μισθό </w:t>
      </w:r>
    </w:p>
    <w:p w14:paraId="0639A8D4" w14:textId="21B68AE9" w:rsidR="007D2C63" w:rsidRDefault="006B5416" w:rsidP="006B5416">
      <w:pPr>
        <w:pStyle w:val="Default"/>
        <w:spacing w:line="360" w:lineRule="auto"/>
        <w:ind w:left="284"/>
        <w:jc w:val="both"/>
        <w:rPr>
          <w:rFonts w:asciiTheme="majorHAnsi" w:hAnsiTheme="majorHAnsi"/>
          <w:color w:val="auto"/>
          <w:sz w:val="22"/>
          <w:szCs w:val="22"/>
          <w:lang w:val="el-GR"/>
        </w:rPr>
      </w:pPr>
      <w:r w:rsidRPr="006B5416">
        <w:rPr>
          <w:rFonts w:asciiTheme="majorHAnsi" w:hAnsiTheme="majorHAnsi"/>
          <w:color w:val="auto"/>
          <w:sz w:val="22"/>
          <w:szCs w:val="22"/>
          <w:lang w:val="el-GR"/>
        </w:rPr>
        <w:t>Δαπάνες νέου ή υφιστάμενου προσωπικού της επιχείρησης αντίστοιχα, με σχέση εξαρτημένης εργασίας (σύμβαση εργασίας πλήρους ή μερικής απασχόλησης αορίστου χρόνου, σύμβαση εργασίας ορισμένου χρόνου) για διάστημα έως 18 μήνες.</w:t>
      </w:r>
    </w:p>
    <w:p w14:paraId="3F2018C4" w14:textId="77777777" w:rsidR="0069272D" w:rsidRPr="0069272D" w:rsidRDefault="0069272D" w:rsidP="0069272D">
      <w:pPr>
        <w:pStyle w:val="Default"/>
        <w:spacing w:line="360" w:lineRule="auto"/>
        <w:ind w:left="284"/>
        <w:jc w:val="both"/>
        <w:rPr>
          <w:rFonts w:asciiTheme="majorHAnsi" w:hAnsiTheme="majorHAnsi"/>
          <w:color w:val="auto"/>
          <w:sz w:val="22"/>
          <w:szCs w:val="22"/>
          <w:lang w:val="el-GR"/>
        </w:rPr>
      </w:pPr>
      <w:r w:rsidRPr="0069272D">
        <w:rPr>
          <w:rFonts w:asciiTheme="majorHAnsi" w:hAnsiTheme="majorHAnsi"/>
          <w:color w:val="auto"/>
          <w:sz w:val="22"/>
          <w:szCs w:val="22"/>
          <w:lang w:val="el-GR"/>
        </w:rPr>
        <w:t xml:space="preserve">Δεν είναι επιλέξιμη δαπάνη: </w:t>
      </w:r>
    </w:p>
    <w:p w14:paraId="7F2D0C29" w14:textId="77777777" w:rsidR="0069272D" w:rsidRDefault="0069272D" w:rsidP="00ED29B6">
      <w:pPr>
        <w:pStyle w:val="Default"/>
        <w:numPr>
          <w:ilvl w:val="0"/>
          <w:numId w:val="3"/>
        </w:numPr>
        <w:spacing w:line="360" w:lineRule="auto"/>
        <w:ind w:left="1134" w:hanging="425"/>
        <w:jc w:val="both"/>
        <w:rPr>
          <w:rFonts w:asciiTheme="majorHAnsi" w:hAnsiTheme="majorHAnsi"/>
          <w:color w:val="auto"/>
          <w:sz w:val="22"/>
          <w:szCs w:val="22"/>
          <w:lang w:val="el-GR"/>
        </w:rPr>
      </w:pPr>
      <w:r w:rsidRPr="0069272D">
        <w:rPr>
          <w:rFonts w:asciiTheme="majorHAnsi" w:hAnsiTheme="majorHAnsi"/>
          <w:color w:val="auto"/>
          <w:sz w:val="22"/>
          <w:szCs w:val="22"/>
          <w:lang w:val="el-GR"/>
        </w:rPr>
        <w:t>Ε.Μ.Ε. μισθωτής εργασίας, το κόστος της οποίας επιχορηγείται από άλλο φορέα,</w:t>
      </w:r>
    </w:p>
    <w:p w14:paraId="01FAFB33" w14:textId="668B0ADF" w:rsidR="0069272D" w:rsidRPr="0069272D" w:rsidRDefault="0069272D" w:rsidP="00ED29B6">
      <w:pPr>
        <w:pStyle w:val="Default"/>
        <w:numPr>
          <w:ilvl w:val="0"/>
          <w:numId w:val="3"/>
        </w:numPr>
        <w:spacing w:line="360" w:lineRule="auto"/>
        <w:ind w:left="1134" w:hanging="425"/>
        <w:jc w:val="both"/>
        <w:rPr>
          <w:rFonts w:asciiTheme="majorHAnsi" w:hAnsiTheme="majorHAnsi"/>
          <w:color w:val="auto"/>
          <w:sz w:val="22"/>
          <w:szCs w:val="22"/>
          <w:lang w:val="el-GR"/>
        </w:rPr>
      </w:pPr>
      <w:r w:rsidRPr="0069272D">
        <w:rPr>
          <w:rFonts w:asciiTheme="majorHAnsi" w:hAnsiTheme="majorHAnsi"/>
          <w:color w:val="auto"/>
          <w:sz w:val="22"/>
          <w:szCs w:val="22"/>
          <w:lang w:val="el-GR"/>
        </w:rPr>
        <w:t xml:space="preserve">Δεν είναι επιλέξιμη δαπάνη: </w:t>
      </w:r>
    </w:p>
    <w:p w14:paraId="14837D57" w14:textId="23EC9B08" w:rsidR="0069272D" w:rsidRDefault="0069272D" w:rsidP="00ED29B6">
      <w:pPr>
        <w:pStyle w:val="Default"/>
        <w:numPr>
          <w:ilvl w:val="0"/>
          <w:numId w:val="3"/>
        </w:numPr>
        <w:spacing w:line="360" w:lineRule="auto"/>
        <w:ind w:left="1134" w:hanging="425"/>
        <w:jc w:val="both"/>
        <w:rPr>
          <w:rFonts w:asciiTheme="majorHAnsi" w:hAnsiTheme="majorHAnsi"/>
          <w:color w:val="auto"/>
          <w:sz w:val="22"/>
          <w:szCs w:val="22"/>
          <w:lang w:val="el-GR"/>
        </w:rPr>
      </w:pPr>
      <w:r w:rsidRPr="0069272D">
        <w:rPr>
          <w:rFonts w:asciiTheme="majorHAnsi" w:hAnsiTheme="majorHAnsi"/>
          <w:color w:val="auto"/>
          <w:sz w:val="22"/>
          <w:szCs w:val="22"/>
          <w:lang w:val="el-GR"/>
        </w:rPr>
        <w:t>Ε.Μ.Ε. μισθωτής εργασίας, το κόστος της οποίας επιχορηγείται από άλλο φορέα,</w:t>
      </w:r>
    </w:p>
    <w:p w14:paraId="0916100B" w14:textId="77777777" w:rsidR="00ED29B6" w:rsidRPr="0069272D" w:rsidRDefault="00ED29B6" w:rsidP="00ED29B6">
      <w:pPr>
        <w:pStyle w:val="Default"/>
        <w:spacing w:line="360" w:lineRule="auto"/>
        <w:ind w:left="1134"/>
        <w:jc w:val="both"/>
        <w:rPr>
          <w:rFonts w:asciiTheme="majorHAnsi" w:hAnsiTheme="majorHAnsi"/>
          <w:color w:val="auto"/>
          <w:sz w:val="22"/>
          <w:szCs w:val="22"/>
          <w:lang w:val="el-GR"/>
        </w:rPr>
      </w:pPr>
    </w:p>
    <w:p w14:paraId="24F41BB7"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Για τον υπολογισμό του συνολικού επιχορηγούμενου υπολογισμού λαμβάνονται υπόψη 18 μήνες απασχόλησης καθώς και επιδόματα εορτών Χριστουγέννων και Πάσχα και το επίδομα αδείας, δηλαδή συνολικά 21 μισθοδοσίες.</w:t>
      </w:r>
    </w:p>
    <w:p w14:paraId="43D80DAD" w14:textId="77777777" w:rsid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Σε περίπτωση που ο ωφελούμενος δεν συμπληρώσει το διάστημα των δεκαοκτώ (18) μηνών που χρηματοδοτείται από το πρόγραμμα λόγω καταγγελία της σύμβασης εργασίας, ή λόγω οικειοθελούς αποχώρησης κ.λπ. η επιχείρηση δύναται να προβεί στην άμεση αντικατάσταση αυτού με άλλον ωφελούμενο.</w:t>
      </w:r>
    </w:p>
    <w:p w14:paraId="6BC5031A"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p>
    <w:p w14:paraId="529189A7"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Το μέγιστο επιχορηγούμενο μηνιαίο μισθολογικό κόστος ανά θέση εργασίας καλύπτει το μισθολογικό κόστος ανά ωφελούμενο για ένα ανθρωπομήνα πλήρους απασχόλησης. Ως ανθρωπομήνας πλήρους απασχόλησης ορίζεται η απασχόληση με ημερήσιο 8ωρο ωράριο για 25 ημέρες ασφάλισης το μήνα (ανώτατο 300 ημέρες ασφάλισης). Στην περίπτωση μερικής απασχόλησης το ποσό τροποποιείται αναλογικά με τον χρόνο απασχόλησης του ωφελούμενου.</w:t>
      </w:r>
    </w:p>
    <w:p w14:paraId="345AA369" w14:textId="77777777" w:rsid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 xml:space="preserve">Για τις δαπάνες προσωπικού ισχύουν οι κανόνες επιλεξιμότητας που αναφέρονται στο άρθρο 15 της ΥΑΕΚΕΔ. Αποτελούν άμεσες δαπάνες και υπολογίζονται στη βάση του πραγματικού κόστους. Δηλαδή έχουν πραγματοποιηθεί από τους </w:t>
      </w:r>
      <w:r w:rsidRPr="00ED29B6">
        <w:rPr>
          <w:rFonts w:asciiTheme="majorHAnsi" w:hAnsiTheme="majorHAnsi"/>
          <w:color w:val="auto"/>
          <w:sz w:val="22"/>
          <w:szCs w:val="22"/>
          <w:lang w:val="el-GR"/>
        </w:rPr>
        <w:lastRenderedPageBreak/>
        <w:t>Δικαιούχους, δικαιολογούνται από τους όρους και τους στόχους των εγκεκριμένων πράξεων, προβλέπονται στην απόφαση χρηματοδότησης και τεκμηριώνονται από εξοφλημένα τιμολόγια ή λογιστικά στοιχεία ισοδύναμης αποδεικτικής αξίας ή μισθολογικές καταστάσεις του Φορέα κ.α. όπως αναλυτικά αναφέρονται στο ΠΑΡΑΡΤΗΜΑ VII: ΠΡΟΥΠΟΘΕΣΕΙΣ ΕΠΙΛΕΞΙΜΟΤΗΤΑΣ ΔΑΠΑΝΩΝ – ΑΠΑΡΑΙΤΗΤΑ ΠΑΡΑΣΤΑΤΙΚΑ ΓΙΑ ΤΗΝ ΥΛΟΠΟΙΗΣΗ ΦΥΣΙΚΟΥ ΚΑΙ ΟΙΚΟΝΟΜΙΚΟΥ ΑΝΤΙΚΕΙΜΕΝΟΥ.</w:t>
      </w:r>
    </w:p>
    <w:p w14:paraId="3E64328A"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p>
    <w:p w14:paraId="143BC186" w14:textId="77777777" w:rsid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Οι δαπάνες προσωπικού υπολογίζονται βάσει των συνολικών αποδοχών του προσωπικού συμπεριλαμβανομένων των εισφορών κοινωνικής ασφάλισης και των επιδομάτων, που προβλέπονται από το θεσμικό πλαίσιο του Δικαιούχου ή τη σύμβαση εργασίας, τα οποία χορηγούνται σε τακτική βάση και δεν συνδέονται με την απόδοση του απασχολούμενου. Επιπλέον αποδοχές που δεν προβλέπονται στη σύμβαση εργασίας και καταβάλλονται κατά περίπτωση (ad hoc) δεν είναι επιλέξιμες.</w:t>
      </w:r>
    </w:p>
    <w:p w14:paraId="3464183E"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p>
    <w:p w14:paraId="537BE501" w14:textId="77777777" w:rsid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Σε περίπτωση που έχουν καταβληθεί οι καθαρές (πληρωτέες) αποδοχές και δεν έχουν αποδοθεί οι αναλογούσες ασφαλιστικές εισφορές ή/και ο αντίστοιχος φόρος, δύναται να πιστοποιηθούν οι καθαρές αποδοχές υπό τον όρο ότι ο δικαιούχος έχει προβεί σε ρύθμιση των οφειλών του την οποία και εξυπηρετεί. Με την υποβολή του τελικού αιτήματος να τεκμηριώνεται η πληρωμή του συνόλου των ασφαλιστικών εισφορών ή/και του αναλογούντος φόρου.</w:t>
      </w:r>
    </w:p>
    <w:p w14:paraId="27B37CAA" w14:textId="77777777" w:rsidR="00ED29B6" w:rsidRPr="00ED29B6" w:rsidRDefault="00ED29B6" w:rsidP="00ED29B6">
      <w:pPr>
        <w:pStyle w:val="Default"/>
        <w:spacing w:line="360" w:lineRule="auto"/>
        <w:ind w:left="284"/>
        <w:jc w:val="both"/>
        <w:rPr>
          <w:rFonts w:asciiTheme="majorHAnsi" w:hAnsiTheme="majorHAnsi"/>
          <w:color w:val="auto"/>
          <w:sz w:val="22"/>
          <w:szCs w:val="22"/>
          <w:lang w:val="el-GR"/>
        </w:rPr>
      </w:pPr>
    </w:p>
    <w:p w14:paraId="530D4176" w14:textId="77777777" w:rsidR="00ED29B6"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Επισημαίνεται ότι απαιτείται η τήρηση της ΚΥΑ 8233/27-3-2025 (ΦΕΚ 1476/τΒ/27-3-2025) «Καθορισμός νομοθετημένου κατώτατου μισθού και κατώτατου ημερομισθίου για τους υπαλλήλους και τους εργατοτεχνίτες όλης της χώρας».</w:t>
      </w:r>
    </w:p>
    <w:p w14:paraId="54160668" w14:textId="77777777" w:rsidR="00461448" w:rsidRPr="00ED29B6" w:rsidRDefault="00461448" w:rsidP="00ED29B6">
      <w:pPr>
        <w:pStyle w:val="Default"/>
        <w:spacing w:line="360" w:lineRule="auto"/>
        <w:ind w:left="284"/>
        <w:jc w:val="both"/>
        <w:rPr>
          <w:rFonts w:asciiTheme="majorHAnsi" w:hAnsiTheme="majorHAnsi"/>
          <w:color w:val="auto"/>
          <w:sz w:val="22"/>
          <w:szCs w:val="22"/>
          <w:lang w:val="el-GR"/>
        </w:rPr>
      </w:pPr>
    </w:p>
    <w:p w14:paraId="5506EB93" w14:textId="1D835589" w:rsidR="00ED29B6" w:rsidRPr="0069272D" w:rsidRDefault="00ED29B6" w:rsidP="00ED29B6">
      <w:pPr>
        <w:pStyle w:val="Default"/>
        <w:spacing w:line="360" w:lineRule="auto"/>
        <w:ind w:left="284"/>
        <w:jc w:val="both"/>
        <w:rPr>
          <w:rFonts w:asciiTheme="majorHAnsi" w:hAnsiTheme="majorHAnsi"/>
          <w:color w:val="auto"/>
          <w:sz w:val="22"/>
          <w:szCs w:val="22"/>
          <w:lang w:val="el-GR"/>
        </w:rPr>
      </w:pPr>
      <w:r w:rsidRPr="00ED29B6">
        <w:rPr>
          <w:rFonts w:asciiTheme="majorHAnsi" w:hAnsiTheme="majorHAnsi"/>
          <w:color w:val="auto"/>
          <w:sz w:val="22"/>
          <w:szCs w:val="22"/>
          <w:lang w:val="el-GR"/>
        </w:rPr>
        <w:t>Σε περίπτωση πρόσληψης με υψηλότερο μικτό μισθό ή εφόσον προκύψουν επιπλέον εργοδοτικές ή άλλες εισφορές ανάλογα με την ειδικότητα κάθε ωφελούμενου, τα ποσά του υπερβάλλοντος κόστους βαρύνουν την επιχείρηση. Επομένως κάθε δυνητικός Δικαιούχος μπορεί να πραγματοποιήσει επενδυτική πρόταση με προϋπολογισμό μεγαλύτερο του μέγιστου επιχορηγούμενου προϋπολογισμού. Στην περίπτωση αυτή, παρόλο που οι υπερβάλλουσες δαπάνες δεν επιχορηγούνται, αντικείμενο αξιολόγησης</w:t>
      </w:r>
      <w:r w:rsidR="00461448" w:rsidRPr="00461448">
        <w:rPr>
          <w:lang w:val="el-GR"/>
        </w:rPr>
        <w:t xml:space="preserve"> </w:t>
      </w:r>
      <w:r w:rsidR="00461448" w:rsidRPr="00461448">
        <w:rPr>
          <w:rFonts w:asciiTheme="majorHAnsi" w:hAnsiTheme="majorHAnsi"/>
          <w:color w:val="auto"/>
          <w:sz w:val="22"/>
          <w:szCs w:val="22"/>
          <w:lang w:val="el-GR"/>
        </w:rPr>
        <w:t>και παρακολούθησης - ελέγχου αποτελεί το σύνολο της πρότασης και το σύνολο του υπερβάλλοντος κόστους, καλύπτεται αποκλειστικά με ιδιωτική συμμετοχή.</w:t>
      </w:r>
    </w:p>
    <w:p w14:paraId="6955A52C" w14:textId="77777777" w:rsidR="00352D93" w:rsidRDefault="00352D93"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055B01AD"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584E5C99"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1B157C87"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00E92E8F"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34E4DFC2"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126E66A6"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22E98170"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64B86FEA" w14:textId="77777777" w:rsidR="009D1B2B" w:rsidRDefault="009D1B2B"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408C51E8" w14:textId="77777777" w:rsidR="00F001F3" w:rsidRDefault="00F001F3"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4E6BDB83" w14:textId="1340E628" w:rsidR="00F001F3" w:rsidRPr="00C963EB" w:rsidRDefault="00F001F3" w:rsidP="00F001F3">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lastRenderedPageBreak/>
        <w:t xml:space="preserve">Δαπάνες </w:t>
      </w:r>
      <w:r w:rsidR="008D6CAC" w:rsidRPr="008D6CAC">
        <w:rPr>
          <w:rFonts w:asciiTheme="majorHAnsi" w:eastAsia="Calibri" w:hAnsiTheme="majorHAnsi" w:cs="Times New Roman"/>
          <w:b/>
          <w:bCs/>
          <w:color w:val="35ABB2"/>
          <w:kern w:val="0"/>
          <w:sz w:val="26"/>
          <w:szCs w:val="26"/>
          <w:lang w:val="el-GR" w:bidi="ar-SA"/>
          <w14:ligatures w14:val="none"/>
        </w:rPr>
        <w:t>Εξοπλισμού, Μεταφορικών Μέσων &amp; Οργάνων</w:t>
      </w:r>
      <w:r>
        <w:rPr>
          <w:rFonts w:asciiTheme="majorHAnsi" w:eastAsia="Calibri" w:hAnsiTheme="majorHAnsi" w:cs="Times New Roman"/>
          <w:b/>
          <w:bCs/>
          <w:color w:val="35ABB2"/>
          <w:kern w:val="0"/>
          <w:sz w:val="26"/>
          <w:szCs w:val="26"/>
          <w:lang w:val="el-GR" w:bidi="ar-SA"/>
          <w14:ligatures w14:val="none"/>
        </w:rPr>
        <w:t xml:space="preserve"> </w:t>
      </w:r>
      <w:r w:rsidRPr="00DA1428">
        <w:rPr>
          <w:rFonts w:asciiTheme="majorHAnsi" w:eastAsia="Calibri" w:hAnsiTheme="majorHAnsi" w:cs="Times New Roman"/>
          <w:b/>
          <w:bCs/>
          <w:color w:val="35ABB2"/>
          <w:kern w:val="0"/>
          <w:sz w:val="26"/>
          <w:szCs w:val="26"/>
          <w:lang w:val="el-GR" w:bidi="ar-SA"/>
          <w14:ligatures w14:val="none"/>
        </w:rPr>
        <w:t xml:space="preserve">- έως </w:t>
      </w:r>
      <w:r w:rsidR="008D6CAC">
        <w:rPr>
          <w:rFonts w:asciiTheme="majorHAnsi" w:eastAsia="Calibri" w:hAnsiTheme="majorHAnsi" w:cs="Times New Roman"/>
          <w:b/>
          <w:bCs/>
          <w:color w:val="35ABB2"/>
          <w:kern w:val="0"/>
          <w:sz w:val="26"/>
          <w:szCs w:val="26"/>
          <w:lang w:val="el-GR" w:bidi="ar-SA"/>
          <w14:ligatures w14:val="none"/>
        </w:rPr>
        <w:t>50</w:t>
      </w:r>
      <w:r w:rsidRPr="00DA1428">
        <w:rPr>
          <w:rFonts w:asciiTheme="majorHAnsi" w:eastAsia="Calibri" w:hAnsiTheme="majorHAnsi" w:cs="Times New Roman"/>
          <w:b/>
          <w:bCs/>
          <w:color w:val="35ABB2"/>
          <w:kern w:val="0"/>
          <w:sz w:val="26"/>
          <w:szCs w:val="26"/>
          <w:lang w:val="el-GR" w:bidi="ar-SA"/>
          <w14:ligatures w14:val="none"/>
        </w:rPr>
        <w:t>% του επιχορηγούμενου Π/Υ.</w:t>
      </w:r>
    </w:p>
    <w:p w14:paraId="37FCE52F" w14:textId="3659C8D6" w:rsidR="009D1B2B" w:rsidRPr="009D1B2B" w:rsidRDefault="009D1B2B" w:rsidP="009D1B2B">
      <w:pPr>
        <w:pStyle w:val="Default"/>
        <w:spacing w:line="360" w:lineRule="auto"/>
        <w:ind w:left="284"/>
        <w:jc w:val="both"/>
        <w:rPr>
          <w:rFonts w:asciiTheme="majorHAnsi" w:hAnsiTheme="majorHAnsi"/>
          <w:b/>
          <w:bCs/>
          <w:color w:val="auto"/>
          <w:sz w:val="22"/>
          <w:szCs w:val="22"/>
          <w:lang w:val="el-GR"/>
        </w:rPr>
      </w:pPr>
      <w:r w:rsidRPr="009D1B2B">
        <w:rPr>
          <w:rFonts w:asciiTheme="majorHAnsi" w:hAnsiTheme="majorHAnsi"/>
          <w:b/>
          <w:bCs/>
          <w:color w:val="auto"/>
          <w:sz w:val="22"/>
          <w:szCs w:val="22"/>
          <w:lang w:val="el-GR"/>
        </w:rPr>
        <w:t xml:space="preserve">Για την τεκμηρίωση του εύλογου του κόστους απαιτούνται: </w:t>
      </w:r>
      <w:r w:rsidRPr="009D1B2B">
        <w:rPr>
          <w:rFonts w:asciiTheme="majorHAnsi" w:hAnsiTheme="majorHAnsi"/>
          <w:b/>
          <w:bCs/>
          <w:color w:val="auto"/>
          <w:sz w:val="22"/>
          <w:szCs w:val="22"/>
          <w:lang w:val="el-GR"/>
        </w:rPr>
        <w:t>Δύο (2) προσφορές, από ανεξάρτητους μεταξύ τους προμηθευτές, για κάθε δαπάνη καθαρής αξίας άνω των 20.000 €.</w:t>
      </w:r>
      <w:r w:rsidRPr="009D1B2B">
        <w:rPr>
          <w:rFonts w:asciiTheme="majorHAnsi" w:hAnsiTheme="majorHAnsi"/>
          <w:b/>
          <w:bCs/>
          <w:color w:val="auto"/>
          <w:sz w:val="22"/>
          <w:szCs w:val="22"/>
          <w:lang w:val="el-GR"/>
        </w:rPr>
        <w:t xml:space="preserve"> </w:t>
      </w:r>
      <w:r w:rsidRPr="009D1B2B">
        <w:rPr>
          <w:rFonts w:asciiTheme="majorHAnsi" w:hAnsiTheme="majorHAnsi"/>
          <w:b/>
          <w:bCs/>
          <w:color w:val="auto"/>
          <w:sz w:val="22"/>
          <w:szCs w:val="22"/>
          <w:lang w:val="el-GR"/>
        </w:rPr>
        <w:t>Σε περίπτωση μη δυνατότητας προσκόμισης δεύτερης προσφοράς (π.χ. ειδικές κατασκευές, αποκλειστικός προμηθευτής) προσκομίζεται μία με σχετική αιτιολόγηση.</w:t>
      </w:r>
    </w:p>
    <w:p w14:paraId="67E02656" w14:textId="77777777" w:rsidR="009D1B2B" w:rsidRDefault="009D1B2B" w:rsidP="00F001F3">
      <w:pPr>
        <w:pStyle w:val="Default"/>
        <w:spacing w:line="360" w:lineRule="auto"/>
        <w:ind w:left="284"/>
        <w:rPr>
          <w:rFonts w:asciiTheme="majorHAnsi" w:hAnsiTheme="majorHAnsi"/>
          <w:color w:val="auto"/>
          <w:sz w:val="22"/>
          <w:szCs w:val="22"/>
          <w:lang w:val="el-GR"/>
        </w:rPr>
      </w:pPr>
    </w:p>
    <w:p w14:paraId="1AD1167F" w14:textId="7BF101D4" w:rsidR="00F001F3" w:rsidRDefault="00D062F3" w:rsidP="00F001F3">
      <w:pPr>
        <w:pStyle w:val="Default"/>
        <w:spacing w:line="360" w:lineRule="auto"/>
        <w:ind w:left="284"/>
        <w:rPr>
          <w:rFonts w:asciiTheme="majorHAnsi" w:hAnsiTheme="majorHAnsi"/>
          <w:color w:val="auto"/>
          <w:sz w:val="22"/>
          <w:szCs w:val="22"/>
          <w:lang w:val="el-GR"/>
        </w:rPr>
      </w:pPr>
      <w:r w:rsidRPr="00D062F3">
        <w:rPr>
          <w:rFonts w:asciiTheme="majorHAnsi" w:hAnsiTheme="majorHAnsi"/>
          <w:color w:val="auto"/>
          <w:sz w:val="22"/>
          <w:szCs w:val="22"/>
          <w:lang w:val="el-GR"/>
        </w:rPr>
        <w:t>Προκειμένου να είναι επιλέξιμες οι δαπάνες που περιλαμβάνονται συνολικά στην κατηγορία θα πρέπει να τηρούνται οι ακόλουθοι όροι:</w:t>
      </w:r>
    </w:p>
    <w:p w14:paraId="3580AE88" w14:textId="77777777"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 xml:space="preserve">Ο προμηθευόμενος εξοπλισμός να εξυπηρετεί άμεσα τη λειτουργία της επιχείρησης, να είναι σύγχρονης τεχνολογίας, καινούργιος, αμεταχείριστος και στην κυριότητα του Δικαιούχου. </w:t>
      </w:r>
    </w:p>
    <w:p w14:paraId="24B46063" w14:textId="7EC30328"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Οι δαπάνες προμήθειας περιλαμβάνουν και το κόστος μεταφοράς και εγκατάστασης του εξοπλισμού μέχρι αυτός να τεθεί σε λειτουργία.</w:t>
      </w:r>
    </w:p>
    <w:p w14:paraId="36E28CA8" w14:textId="3E5FC131"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Ο προμηθευόμενος εξοπλισμός θα πρέπει να αποτελεί πάγιο στοιχείο για τον Δικαιούχο. Πάγιο στοιχείο θεωρείται κάθε στοιχείο το οποίο με κατάλληλη χρήση και συντήρηση έχει ωφέλιμη διάρκεια χρήσης μεγαλύτερη του ενός έτους, διατηρεί το αρχικό του σχήμα και εμφάνιση κατά τη χρήση, δεν χάνει την ταυτότητά του με ενσωμάτωση σε άλλο ή πιο σύνθετο στοιχείο και καταχωρίζεται στο μητρώο παγίων και δέχεται αποσβέσεις.</w:t>
      </w:r>
    </w:p>
    <w:p w14:paraId="2C3AE8F1" w14:textId="77777777"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 xml:space="preserve">Ο προμηθευόμενος εξοπλισμός να περιγράφεται αναλυτικά, με τεχνικές προδιαγραφές, να τεκμηριώνεται η αναγκαιότητα της χρήσης του και το εύλογο του κόστους απόκτησής του. </w:t>
      </w:r>
    </w:p>
    <w:p w14:paraId="6B072C35" w14:textId="77777777"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 xml:space="preserve">Τα ηλεκτρομηχανολογικά συστήματα, για τα οποία υφίσταται σχετική υποχρέωση από την κείμενη νομοθεσία, θα πρέπει να φέρουν σήμανση CE (Ευρωπαϊκής Ένωσης). </w:t>
      </w:r>
    </w:p>
    <w:p w14:paraId="0D37D21C" w14:textId="77777777" w:rsidR="00C00E56"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 xml:space="preserve">Οι δαπάνες προμήθειας πρόσθετων εξαρτημάτων είναι επιλέξιμες, εφόσον αυτά είναι παρελκόμενα του κυρίως εξοπλισμού που περιλαμβάνεται στην πράξη, αποτελούν δηλαδή αναπόσπαστο τμήμα του και είναι απαραίτητα για την παραγωγική λειτουργία του. </w:t>
      </w:r>
    </w:p>
    <w:p w14:paraId="501446C5" w14:textId="4413D2BE" w:rsidR="00D062F3" w:rsidRPr="00C00E56" w:rsidRDefault="00C00E56" w:rsidP="00C00E56">
      <w:pPr>
        <w:pStyle w:val="Default"/>
        <w:numPr>
          <w:ilvl w:val="0"/>
          <w:numId w:val="3"/>
        </w:numPr>
        <w:spacing w:line="360" w:lineRule="auto"/>
        <w:ind w:left="1134" w:hanging="425"/>
        <w:jc w:val="both"/>
        <w:rPr>
          <w:rFonts w:asciiTheme="majorHAnsi" w:hAnsiTheme="majorHAnsi"/>
          <w:color w:val="auto"/>
          <w:sz w:val="22"/>
          <w:szCs w:val="22"/>
          <w:lang w:val="el-GR"/>
        </w:rPr>
      </w:pPr>
      <w:r w:rsidRPr="00C00E56">
        <w:rPr>
          <w:rFonts w:asciiTheme="majorHAnsi" w:hAnsiTheme="majorHAnsi"/>
          <w:color w:val="auto"/>
          <w:sz w:val="22"/>
          <w:szCs w:val="22"/>
          <w:lang w:val="el-GR"/>
        </w:rPr>
        <w:t xml:space="preserve">Για δαπάνες οι οποίες εντάσσονται στην παρούσα κατηγορία αλλά δεν δύναται η απόσπαση τους από τον τόπο υλοποίησης της πράξης, χωρίς αυτές να χάσουν μέρος ή το σύνολο της αξίας τους (π.χ. προμήθεια και εγκατάσταση συστήματος θέρμανσης, κεντρικού κλιματισμού, ασφαλείας, κλπ), θα πρέπει να υπάρχει ιδιοκτησία ή παραχώρηση χρήσης ή μίσθωση ή νόμιμη σύσταση επικαρπίας επί του ακινήτου για χρονικό διάστημα τουλάχιστον τριών (3) ετών. Η περίοδος της τριετίας υπολογίζεται από την ημερομηνία έγκρισης της αίτησης χρηματοδότησης. Η ιδιοκτησία, η μίσθωση, η σύσταση επικαρπίας ή η παραχώρηση χρήσης θα πρέπει να καταδεικνύεται πριν την καταβολή της δημόσιας χρηματοδότησης. </w:t>
      </w:r>
    </w:p>
    <w:p w14:paraId="33DF5D89" w14:textId="77777777" w:rsidR="009D1B2B" w:rsidRDefault="009D1B2B" w:rsidP="00F001F3">
      <w:pPr>
        <w:pStyle w:val="Default"/>
        <w:spacing w:line="360" w:lineRule="auto"/>
        <w:jc w:val="both"/>
        <w:rPr>
          <w:rFonts w:asciiTheme="majorHAnsi" w:hAnsiTheme="majorHAnsi"/>
          <w:color w:val="auto"/>
          <w:sz w:val="22"/>
          <w:szCs w:val="22"/>
          <w:lang w:val="el-GR"/>
        </w:rPr>
      </w:pPr>
    </w:p>
    <w:p w14:paraId="68F4ADA0" w14:textId="77777777" w:rsidR="007A4B95" w:rsidRDefault="007A4B95" w:rsidP="00F001F3">
      <w:pPr>
        <w:pStyle w:val="Default"/>
        <w:spacing w:line="360" w:lineRule="auto"/>
        <w:jc w:val="both"/>
        <w:rPr>
          <w:rFonts w:asciiTheme="majorHAnsi" w:hAnsiTheme="majorHAnsi"/>
          <w:color w:val="auto"/>
          <w:sz w:val="22"/>
          <w:szCs w:val="22"/>
          <w:lang w:val="el-GR"/>
        </w:rPr>
      </w:pPr>
    </w:p>
    <w:p w14:paraId="1225DE73" w14:textId="77777777" w:rsidR="007A4B95" w:rsidRDefault="007A4B95" w:rsidP="00F001F3">
      <w:pPr>
        <w:pStyle w:val="Default"/>
        <w:spacing w:line="360" w:lineRule="auto"/>
        <w:jc w:val="both"/>
        <w:rPr>
          <w:rFonts w:asciiTheme="majorHAnsi" w:hAnsiTheme="majorHAnsi"/>
          <w:color w:val="auto"/>
          <w:sz w:val="22"/>
          <w:szCs w:val="22"/>
          <w:lang w:val="el-GR"/>
        </w:rPr>
      </w:pPr>
    </w:p>
    <w:p w14:paraId="02BB57DB" w14:textId="19395441" w:rsidR="00F001F3" w:rsidRPr="00AA6541" w:rsidRDefault="00F001F3" w:rsidP="00AA654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AA6541">
        <w:rPr>
          <w:rFonts w:asciiTheme="majorHAnsi" w:hAnsiTheme="majorHAnsi"/>
          <w:b/>
          <w:bCs/>
          <w:color w:val="auto"/>
          <w:sz w:val="22"/>
          <w:szCs w:val="22"/>
          <w:lang w:val="el-GR"/>
        </w:rPr>
        <w:lastRenderedPageBreak/>
        <w:t xml:space="preserve">Προμήθεια </w:t>
      </w:r>
      <w:r w:rsidR="00AA6541" w:rsidRPr="00AA6541">
        <w:rPr>
          <w:rFonts w:asciiTheme="majorHAnsi" w:hAnsiTheme="majorHAnsi"/>
          <w:b/>
          <w:bCs/>
          <w:color w:val="auto"/>
          <w:sz w:val="22"/>
          <w:szCs w:val="22"/>
          <w:lang w:val="el-GR"/>
        </w:rPr>
        <w:t>Εξοπλισμός για την προστασία του Περιβάλλοντος και Εξοικονόμηση Ενέργειας – Έως 4.000€.</w:t>
      </w:r>
    </w:p>
    <w:p w14:paraId="682619AA" w14:textId="03898442" w:rsidR="00F001F3" w:rsidRPr="00B11714" w:rsidRDefault="002E0135" w:rsidP="002E0135">
      <w:pPr>
        <w:pStyle w:val="Default"/>
        <w:spacing w:line="360" w:lineRule="auto"/>
        <w:ind w:left="567"/>
        <w:rPr>
          <w:rFonts w:asciiTheme="majorHAnsi" w:hAnsiTheme="majorHAnsi"/>
          <w:color w:val="auto"/>
          <w:sz w:val="22"/>
          <w:szCs w:val="22"/>
          <w:lang w:val="el-GR"/>
        </w:rPr>
      </w:pPr>
      <w:r w:rsidRPr="002E0135">
        <w:rPr>
          <w:rFonts w:asciiTheme="majorHAnsi" w:hAnsiTheme="majorHAnsi"/>
          <w:color w:val="auto"/>
          <w:sz w:val="22"/>
          <w:szCs w:val="22"/>
          <w:lang w:val="el-GR"/>
        </w:rPr>
        <w:t>Επιλέξιμες είναι δαπάνες εξοπλισμού και εγκαταστάσεων που στοχεύουν στην εξοικονόμηση ενέργειας και νερού, καθώς και στην ελαχιστοποίηση και εξοικονόμηση πόρων, χρησιμοποιώντας πρακτικές επαναχρησιμοποίησης και ανακύκλωσης.</w:t>
      </w:r>
      <w:r>
        <w:rPr>
          <w:rFonts w:asciiTheme="majorHAnsi" w:hAnsiTheme="majorHAnsi"/>
          <w:color w:val="auto"/>
          <w:sz w:val="22"/>
          <w:szCs w:val="22"/>
          <w:lang w:val="el-GR"/>
        </w:rPr>
        <w:t xml:space="preserve"> </w:t>
      </w:r>
      <w:r w:rsidRPr="002E0135">
        <w:rPr>
          <w:rFonts w:asciiTheme="majorHAnsi" w:hAnsiTheme="majorHAnsi"/>
          <w:color w:val="auto"/>
          <w:sz w:val="22"/>
          <w:szCs w:val="22"/>
          <w:lang w:val="el-GR"/>
        </w:rPr>
        <w:t>Ενδεικτικά δύναται να περιλαμβάνονται δαπάνες που αφορούν σε:</w:t>
      </w:r>
    </w:p>
    <w:p w14:paraId="6D6E5589" w14:textId="41F4F526" w:rsidR="002E0135" w:rsidRPr="002E0135" w:rsidRDefault="00F001F3" w:rsidP="002E0135">
      <w:pPr>
        <w:pStyle w:val="Default"/>
        <w:numPr>
          <w:ilvl w:val="0"/>
          <w:numId w:val="3"/>
        </w:numPr>
        <w:spacing w:line="360" w:lineRule="auto"/>
        <w:ind w:left="1134" w:hanging="425"/>
        <w:jc w:val="both"/>
        <w:rPr>
          <w:rFonts w:asciiTheme="majorHAnsi" w:hAnsiTheme="majorHAnsi"/>
          <w:color w:val="auto"/>
          <w:sz w:val="22"/>
          <w:szCs w:val="22"/>
          <w:lang w:val="el-GR"/>
        </w:rPr>
      </w:pPr>
      <w:r w:rsidRPr="00691175">
        <w:rPr>
          <w:rFonts w:asciiTheme="majorHAnsi" w:hAnsiTheme="majorHAnsi"/>
          <w:color w:val="auto"/>
          <w:sz w:val="22"/>
          <w:szCs w:val="22"/>
          <w:lang w:val="el-GR"/>
        </w:rPr>
        <w:t xml:space="preserve">Προμήθεια, </w:t>
      </w:r>
      <w:r w:rsidR="002E0135" w:rsidRPr="002E0135">
        <w:rPr>
          <w:rFonts w:asciiTheme="majorHAnsi" w:hAnsiTheme="majorHAnsi"/>
          <w:color w:val="auto"/>
          <w:sz w:val="22"/>
          <w:szCs w:val="22"/>
          <w:lang w:val="el-GR"/>
        </w:rPr>
        <w:t>Προμήθεια και εγκατάσταση συστημάτων θέρμανσης ή και ψύξης (πχ αντλίες θερμότητας, κλιματιστικά inverter τουλάχιστον ενεργειακής σήμανσης Α), καθώς και παροχής ζεστού νερού χρήσης.</w:t>
      </w:r>
    </w:p>
    <w:p w14:paraId="3995A3C2" w14:textId="7349E6D9" w:rsidR="002E0135" w:rsidRPr="002E0135" w:rsidRDefault="002E0135" w:rsidP="002E0135">
      <w:pPr>
        <w:pStyle w:val="Default"/>
        <w:numPr>
          <w:ilvl w:val="0"/>
          <w:numId w:val="3"/>
        </w:numPr>
        <w:spacing w:line="360" w:lineRule="auto"/>
        <w:ind w:left="1134" w:hanging="425"/>
        <w:jc w:val="both"/>
        <w:rPr>
          <w:rFonts w:asciiTheme="majorHAnsi" w:hAnsiTheme="majorHAnsi"/>
          <w:color w:val="auto"/>
          <w:sz w:val="22"/>
          <w:szCs w:val="22"/>
          <w:lang w:val="el-GR"/>
        </w:rPr>
      </w:pPr>
      <w:r w:rsidRPr="002E0135">
        <w:rPr>
          <w:rFonts w:asciiTheme="majorHAnsi" w:hAnsiTheme="majorHAnsi"/>
          <w:color w:val="auto"/>
          <w:sz w:val="22"/>
          <w:szCs w:val="22"/>
          <w:lang w:val="el-GR"/>
        </w:rPr>
        <w:t>Προμήθεια και εγκατάσταση συστήματος διαχείρισης ενέργειας (EMS) για τους χώρους της επιχείρησης</w:t>
      </w:r>
    </w:p>
    <w:p w14:paraId="4B686B51" w14:textId="71DC818B" w:rsidR="00F001F3" w:rsidRDefault="002E0135" w:rsidP="002E0135">
      <w:pPr>
        <w:pStyle w:val="Default"/>
        <w:numPr>
          <w:ilvl w:val="0"/>
          <w:numId w:val="3"/>
        </w:numPr>
        <w:spacing w:line="360" w:lineRule="auto"/>
        <w:ind w:left="1134" w:hanging="425"/>
        <w:jc w:val="both"/>
        <w:rPr>
          <w:rFonts w:asciiTheme="majorHAnsi" w:hAnsiTheme="majorHAnsi"/>
          <w:color w:val="auto"/>
          <w:sz w:val="22"/>
          <w:szCs w:val="22"/>
          <w:lang w:val="el-GR"/>
        </w:rPr>
      </w:pPr>
      <w:r w:rsidRPr="002E0135">
        <w:rPr>
          <w:rFonts w:asciiTheme="majorHAnsi" w:hAnsiTheme="majorHAnsi"/>
          <w:color w:val="auto"/>
          <w:sz w:val="22"/>
          <w:szCs w:val="22"/>
          <w:lang w:val="el-GR"/>
        </w:rPr>
        <w:t>Προμήθεια ηλεκτρικών / ηλεκτρονικών συσκευών τουλάχιστον ενεργειακής σήμανσης Α.</w:t>
      </w:r>
    </w:p>
    <w:p w14:paraId="6C36B28C" w14:textId="090FABDA" w:rsidR="0056704C" w:rsidRPr="00BB6A1C" w:rsidRDefault="0056704C" w:rsidP="002E0135">
      <w:pPr>
        <w:pStyle w:val="Default"/>
        <w:numPr>
          <w:ilvl w:val="0"/>
          <w:numId w:val="3"/>
        </w:numPr>
        <w:spacing w:line="360" w:lineRule="auto"/>
        <w:ind w:left="1134" w:hanging="425"/>
        <w:jc w:val="both"/>
        <w:rPr>
          <w:rFonts w:asciiTheme="majorHAnsi" w:hAnsiTheme="majorHAnsi"/>
          <w:color w:val="auto"/>
          <w:sz w:val="22"/>
          <w:szCs w:val="22"/>
          <w:lang w:val="el-GR"/>
        </w:rPr>
      </w:pPr>
      <w:r w:rsidRPr="0056704C">
        <w:rPr>
          <w:rFonts w:asciiTheme="majorHAnsi" w:hAnsiTheme="majorHAnsi"/>
          <w:color w:val="auto"/>
          <w:sz w:val="22"/>
          <w:szCs w:val="22"/>
          <w:lang w:val="el-GR"/>
        </w:rPr>
        <w:t>Προμήθεια εξοπλισμού για Ανακύκλωση όπως κάδοι, πρέσες, μηχανήματα διαλογής, κοντέινερ, απορριμματοφόρα, μηχανήματα κομποστοποίησης κ.α.,</w:t>
      </w:r>
    </w:p>
    <w:p w14:paraId="7FE9ED45" w14:textId="77777777" w:rsidR="00F001F3" w:rsidRDefault="00F001F3" w:rsidP="00F001F3">
      <w:pPr>
        <w:pStyle w:val="Default"/>
        <w:spacing w:line="360" w:lineRule="auto"/>
        <w:jc w:val="both"/>
        <w:rPr>
          <w:rFonts w:asciiTheme="majorHAnsi" w:hAnsiTheme="majorHAnsi"/>
          <w:color w:val="auto"/>
          <w:sz w:val="22"/>
          <w:szCs w:val="22"/>
          <w:lang w:val="el-GR"/>
        </w:rPr>
      </w:pPr>
    </w:p>
    <w:p w14:paraId="4C407104" w14:textId="270B02AD" w:rsidR="00F001F3" w:rsidRPr="0014766D" w:rsidRDefault="00523809" w:rsidP="00F001F3">
      <w:pPr>
        <w:pStyle w:val="Default"/>
        <w:numPr>
          <w:ilvl w:val="0"/>
          <w:numId w:val="2"/>
        </w:numPr>
        <w:spacing w:line="360" w:lineRule="auto"/>
        <w:ind w:left="567" w:hanging="283"/>
        <w:jc w:val="both"/>
        <w:rPr>
          <w:rFonts w:asciiTheme="majorHAnsi" w:hAnsiTheme="majorHAnsi"/>
          <w:b/>
          <w:bCs/>
          <w:color w:val="auto"/>
          <w:sz w:val="22"/>
          <w:szCs w:val="22"/>
          <w:lang w:val="el-GR"/>
        </w:rPr>
      </w:pPr>
      <w:r w:rsidRPr="00523809">
        <w:rPr>
          <w:rFonts w:asciiTheme="majorHAnsi" w:hAnsiTheme="majorHAnsi"/>
          <w:b/>
          <w:bCs/>
          <w:color w:val="auto"/>
          <w:sz w:val="22"/>
          <w:szCs w:val="22"/>
          <w:lang w:val="el-GR"/>
        </w:rPr>
        <w:t>Λοιπός Εξοπλισμός επιχείρησης – Έως 4.000€</w:t>
      </w:r>
    </w:p>
    <w:p w14:paraId="5F3C9785" w14:textId="77777777" w:rsidR="00F001F3" w:rsidRPr="00B11714" w:rsidRDefault="00F001F3" w:rsidP="00F001F3">
      <w:pPr>
        <w:pStyle w:val="Default"/>
        <w:spacing w:line="360" w:lineRule="auto"/>
        <w:ind w:left="567"/>
        <w:jc w:val="both"/>
        <w:rPr>
          <w:rFonts w:asciiTheme="majorHAnsi" w:hAnsiTheme="majorHAnsi"/>
          <w:color w:val="auto"/>
          <w:sz w:val="22"/>
          <w:szCs w:val="22"/>
          <w:lang w:val="el-GR"/>
        </w:rPr>
      </w:pPr>
      <w:r w:rsidRPr="00BE1912">
        <w:rPr>
          <w:rFonts w:asciiTheme="majorHAnsi" w:hAnsiTheme="majorHAnsi"/>
          <w:color w:val="auto"/>
          <w:sz w:val="22"/>
          <w:szCs w:val="22"/>
          <w:lang w:val="el-GR"/>
        </w:rPr>
        <w:t>Μπορεί ενδεικτικά να περιλαμβάνονται δαπάνες που αφορούν σε</w:t>
      </w:r>
      <w:r>
        <w:rPr>
          <w:rFonts w:asciiTheme="majorHAnsi" w:hAnsiTheme="majorHAnsi"/>
          <w:color w:val="auto"/>
          <w:sz w:val="22"/>
          <w:szCs w:val="22"/>
          <w:lang w:val="el-GR"/>
        </w:rPr>
        <w:t xml:space="preserve"> προμήθεια</w:t>
      </w:r>
      <w:r w:rsidRPr="00B11714">
        <w:rPr>
          <w:rFonts w:asciiTheme="majorHAnsi" w:hAnsiTheme="majorHAnsi"/>
          <w:color w:val="auto"/>
          <w:sz w:val="22"/>
          <w:szCs w:val="22"/>
          <w:lang w:val="el-GR"/>
        </w:rPr>
        <w:t>:</w:t>
      </w:r>
    </w:p>
    <w:p w14:paraId="328DA6D4" w14:textId="77777777" w:rsidR="00F001F3" w:rsidRPr="003066B9" w:rsidRDefault="00F001F3" w:rsidP="00F001F3">
      <w:pPr>
        <w:pStyle w:val="Default"/>
        <w:numPr>
          <w:ilvl w:val="0"/>
          <w:numId w:val="15"/>
        </w:numPr>
        <w:spacing w:line="360" w:lineRule="auto"/>
        <w:jc w:val="both"/>
        <w:rPr>
          <w:rFonts w:asciiTheme="majorHAnsi" w:hAnsiTheme="majorHAnsi"/>
          <w:color w:val="auto"/>
          <w:sz w:val="22"/>
          <w:szCs w:val="22"/>
          <w:lang w:val="el-GR"/>
        </w:rPr>
      </w:pPr>
      <w:r w:rsidRPr="003066B9">
        <w:rPr>
          <w:rFonts w:asciiTheme="majorHAnsi" w:hAnsiTheme="majorHAnsi"/>
          <w:color w:val="auto"/>
          <w:sz w:val="22"/>
          <w:szCs w:val="22"/>
          <w:lang w:val="el-GR"/>
        </w:rPr>
        <w:t>Προμήθεια λεωφορείων άνω των 8 θέσεων.</w:t>
      </w:r>
    </w:p>
    <w:p w14:paraId="7F45E0DD" w14:textId="77777777" w:rsidR="00F001F3" w:rsidRDefault="00F001F3" w:rsidP="00F001F3">
      <w:pPr>
        <w:pStyle w:val="Default"/>
        <w:numPr>
          <w:ilvl w:val="0"/>
          <w:numId w:val="15"/>
        </w:numPr>
        <w:spacing w:line="360" w:lineRule="auto"/>
        <w:jc w:val="both"/>
        <w:rPr>
          <w:rFonts w:asciiTheme="majorHAnsi" w:hAnsiTheme="majorHAnsi"/>
          <w:color w:val="auto"/>
          <w:sz w:val="22"/>
          <w:szCs w:val="22"/>
          <w:lang w:val="el-GR"/>
        </w:rPr>
      </w:pPr>
      <w:r w:rsidRPr="003066B9">
        <w:rPr>
          <w:rFonts w:asciiTheme="majorHAnsi" w:hAnsiTheme="majorHAnsi"/>
          <w:color w:val="auto"/>
          <w:sz w:val="22"/>
          <w:szCs w:val="22"/>
          <w:lang w:val="el-GR"/>
        </w:rPr>
        <w:t>Προμήθεια Φορτηγών μεικτού βάρους άνω των 3 τόνων</w:t>
      </w:r>
      <w:r w:rsidRPr="00472D98">
        <w:rPr>
          <w:rFonts w:asciiTheme="majorHAnsi" w:hAnsiTheme="majorHAnsi"/>
          <w:color w:val="auto"/>
          <w:sz w:val="22"/>
          <w:szCs w:val="22"/>
          <w:lang w:val="el-GR"/>
        </w:rPr>
        <w:t>.</w:t>
      </w:r>
    </w:p>
    <w:p w14:paraId="36D073EC" w14:textId="77777777" w:rsidR="00F001F3" w:rsidRDefault="00F001F3" w:rsidP="00F001F3">
      <w:pPr>
        <w:pStyle w:val="Default"/>
        <w:spacing w:line="360" w:lineRule="auto"/>
        <w:jc w:val="both"/>
        <w:rPr>
          <w:rFonts w:asciiTheme="majorHAnsi" w:hAnsiTheme="majorHAnsi"/>
          <w:color w:val="auto"/>
          <w:sz w:val="22"/>
          <w:szCs w:val="22"/>
          <w:lang w:val="el-GR"/>
        </w:rPr>
      </w:pPr>
    </w:p>
    <w:p w14:paraId="75FC0577" w14:textId="5B80667E" w:rsidR="00F001F3" w:rsidRPr="0014766D" w:rsidRDefault="00424243" w:rsidP="00F001F3">
      <w:pPr>
        <w:pStyle w:val="Default"/>
        <w:numPr>
          <w:ilvl w:val="0"/>
          <w:numId w:val="2"/>
        </w:numPr>
        <w:spacing w:line="360" w:lineRule="auto"/>
        <w:ind w:left="567" w:hanging="283"/>
        <w:jc w:val="both"/>
        <w:rPr>
          <w:rFonts w:asciiTheme="majorHAnsi" w:hAnsiTheme="majorHAnsi"/>
          <w:b/>
          <w:bCs/>
          <w:color w:val="auto"/>
          <w:sz w:val="22"/>
          <w:szCs w:val="22"/>
          <w:lang w:val="el-GR"/>
        </w:rPr>
      </w:pPr>
      <w:r w:rsidRPr="00424243">
        <w:rPr>
          <w:rFonts w:asciiTheme="majorHAnsi" w:hAnsiTheme="majorHAnsi"/>
          <w:b/>
          <w:bCs/>
          <w:color w:val="auto"/>
          <w:sz w:val="22"/>
          <w:szCs w:val="22"/>
          <w:lang w:val="el-GR"/>
        </w:rPr>
        <w:t>Ψηφιακός εξοπλισμός γραφείου</w:t>
      </w:r>
    </w:p>
    <w:p w14:paraId="4D2CB533" w14:textId="02CA4725" w:rsidR="004657D2" w:rsidRPr="004657D2" w:rsidRDefault="00BD2694" w:rsidP="004657D2">
      <w:pPr>
        <w:pStyle w:val="Default"/>
        <w:spacing w:line="360" w:lineRule="auto"/>
        <w:ind w:left="567"/>
        <w:jc w:val="both"/>
        <w:rPr>
          <w:rFonts w:asciiTheme="majorHAnsi" w:hAnsiTheme="majorHAnsi"/>
          <w:color w:val="auto"/>
          <w:sz w:val="22"/>
          <w:szCs w:val="22"/>
          <w:lang w:val="el-GR"/>
        </w:rPr>
      </w:pPr>
      <w:r w:rsidRPr="00BD2694">
        <w:rPr>
          <w:rFonts w:asciiTheme="majorHAnsi" w:hAnsiTheme="majorHAnsi"/>
          <w:color w:val="auto"/>
          <w:sz w:val="22"/>
          <w:szCs w:val="22"/>
          <w:lang w:val="el-GR"/>
        </w:rPr>
        <w:t>Επιλέξιμες είναι δαπάνες που αφορούν στην προμήθεια, εγκατάσταση και λειτουργία νέου ψηφιακού εξοπλισμού, με στόχο να αξιοποιηθούν οι νέες τεχνολογίες και να εφαρμοστούν τόσο στο σύνολο των υπηρεσιών που προσφέρονται, όσο και στην οργάνωση, τη λειτουργία και τις διαδικασίες της επιχείρησης. Το πλήθος των ειδών θα συνάδει με την δυναμικότητα της επιχείρησης.</w:t>
      </w:r>
      <w:r>
        <w:rPr>
          <w:rFonts w:asciiTheme="majorHAnsi" w:hAnsiTheme="majorHAnsi"/>
          <w:color w:val="auto"/>
          <w:sz w:val="22"/>
          <w:szCs w:val="22"/>
          <w:lang w:val="el-GR"/>
        </w:rPr>
        <w:t xml:space="preserve"> </w:t>
      </w:r>
      <w:r w:rsidRPr="00BD2694">
        <w:rPr>
          <w:rFonts w:asciiTheme="majorHAnsi" w:hAnsiTheme="majorHAnsi"/>
          <w:color w:val="auto"/>
          <w:sz w:val="22"/>
          <w:szCs w:val="22"/>
          <w:lang w:val="el-GR"/>
        </w:rPr>
        <w:t>Μπορεί ενδεικτικά να περιλαμβάνονται δαπάνες που αφορούν σε:</w:t>
      </w:r>
    </w:p>
    <w:p w14:paraId="20831041" w14:textId="1A7E63DA" w:rsidR="004657D2" w:rsidRPr="004657D2" w:rsidRDefault="004657D2" w:rsidP="004657D2">
      <w:pPr>
        <w:pStyle w:val="Default"/>
        <w:numPr>
          <w:ilvl w:val="0"/>
          <w:numId w:val="15"/>
        </w:numPr>
        <w:spacing w:line="360" w:lineRule="auto"/>
        <w:jc w:val="both"/>
        <w:rPr>
          <w:rFonts w:asciiTheme="majorHAnsi" w:hAnsiTheme="majorHAnsi"/>
          <w:color w:val="auto"/>
          <w:sz w:val="22"/>
          <w:szCs w:val="22"/>
          <w:lang w:val="el-GR"/>
        </w:rPr>
      </w:pPr>
      <w:r w:rsidRPr="004657D2">
        <w:rPr>
          <w:rFonts w:asciiTheme="majorHAnsi" w:hAnsiTheme="majorHAnsi"/>
          <w:color w:val="auto"/>
          <w:sz w:val="22"/>
          <w:szCs w:val="22"/>
          <w:lang w:val="el-GR"/>
        </w:rPr>
        <w:t>Εξοπλισμός Ενσύρματου ή/ και Ασύρματου Δικτύου &amp; καλωδίωση.</w:t>
      </w:r>
    </w:p>
    <w:p w14:paraId="0394BFED" w14:textId="72194B2C" w:rsidR="004657D2" w:rsidRPr="004657D2" w:rsidRDefault="004657D2" w:rsidP="004657D2">
      <w:pPr>
        <w:pStyle w:val="Default"/>
        <w:numPr>
          <w:ilvl w:val="0"/>
          <w:numId w:val="15"/>
        </w:numPr>
        <w:spacing w:line="360" w:lineRule="auto"/>
        <w:jc w:val="both"/>
        <w:rPr>
          <w:rFonts w:asciiTheme="majorHAnsi" w:hAnsiTheme="majorHAnsi"/>
          <w:color w:val="auto"/>
          <w:sz w:val="22"/>
          <w:szCs w:val="22"/>
          <w:lang w:val="el-GR"/>
        </w:rPr>
      </w:pPr>
      <w:r w:rsidRPr="004657D2">
        <w:rPr>
          <w:rFonts w:asciiTheme="majorHAnsi" w:hAnsiTheme="majorHAnsi"/>
          <w:color w:val="auto"/>
          <w:sz w:val="22"/>
          <w:szCs w:val="22"/>
          <w:lang w:val="el-GR"/>
        </w:rPr>
        <w:t>3D εκτυπωτές.</w:t>
      </w:r>
    </w:p>
    <w:p w14:paraId="42ACACF5" w14:textId="7A938091" w:rsidR="004657D2" w:rsidRPr="004657D2" w:rsidRDefault="004657D2" w:rsidP="004657D2">
      <w:pPr>
        <w:pStyle w:val="Default"/>
        <w:numPr>
          <w:ilvl w:val="0"/>
          <w:numId w:val="15"/>
        </w:numPr>
        <w:spacing w:line="360" w:lineRule="auto"/>
        <w:jc w:val="both"/>
        <w:rPr>
          <w:rFonts w:asciiTheme="majorHAnsi" w:hAnsiTheme="majorHAnsi"/>
          <w:color w:val="auto"/>
          <w:sz w:val="22"/>
          <w:szCs w:val="22"/>
          <w:lang w:val="el-GR"/>
        </w:rPr>
      </w:pPr>
      <w:r w:rsidRPr="004657D2">
        <w:rPr>
          <w:rFonts w:asciiTheme="majorHAnsi" w:hAnsiTheme="majorHAnsi"/>
          <w:color w:val="auto"/>
          <w:sz w:val="22"/>
          <w:szCs w:val="22"/>
          <w:lang w:val="el-GR"/>
        </w:rPr>
        <w:t>Εξοπλισμός γραφείου (Η/Υ, laptop, tablet, server, οθόνες, κινητά τηλέφωνα, projectors, scanners, printers, UPS, κλπ).</w:t>
      </w:r>
    </w:p>
    <w:p w14:paraId="0CE302A3" w14:textId="07B83629" w:rsidR="00F001F3" w:rsidRDefault="004657D2" w:rsidP="004657D2">
      <w:pPr>
        <w:pStyle w:val="Default"/>
        <w:numPr>
          <w:ilvl w:val="0"/>
          <w:numId w:val="15"/>
        </w:numPr>
        <w:spacing w:line="360" w:lineRule="auto"/>
        <w:jc w:val="both"/>
        <w:rPr>
          <w:rFonts w:asciiTheme="majorHAnsi" w:hAnsiTheme="majorHAnsi"/>
          <w:color w:val="auto"/>
          <w:sz w:val="22"/>
          <w:szCs w:val="22"/>
          <w:lang w:val="el-GR"/>
        </w:rPr>
      </w:pPr>
      <w:r w:rsidRPr="004657D2">
        <w:rPr>
          <w:rFonts w:asciiTheme="majorHAnsi" w:hAnsiTheme="majorHAnsi"/>
          <w:color w:val="auto"/>
          <w:sz w:val="22"/>
          <w:szCs w:val="22"/>
          <w:lang w:val="el-GR"/>
        </w:rPr>
        <w:t>Μικρο-οπτικο-ηλεκτρο-μηχανικά συστήματα και ολοκληρωμένα οπτικά συστήματα (πηγές laser, οπτικά στοιχεία ανιχνευτές).</w:t>
      </w:r>
    </w:p>
    <w:p w14:paraId="477C2330" w14:textId="77777777" w:rsidR="009D1B2B" w:rsidRDefault="009D1B2B" w:rsidP="00281094">
      <w:pPr>
        <w:pStyle w:val="Default"/>
        <w:spacing w:line="360" w:lineRule="auto"/>
        <w:jc w:val="both"/>
        <w:rPr>
          <w:rFonts w:asciiTheme="majorHAnsi" w:hAnsiTheme="majorHAnsi"/>
          <w:color w:val="auto"/>
          <w:sz w:val="22"/>
          <w:szCs w:val="22"/>
          <w:lang w:val="el-GR"/>
        </w:rPr>
      </w:pPr>
    </w:p>
    <w:p w14:paraId="21E6225E" w14:textId="03338997" w:rsidR="00281094" w:rsidRPr="0014766D" w:rsidRDefault="00BB26B3" w:rsidP="00281094">
      <w:pPr>
        <w:pStyle w:val="Default"/>
        <w:numPr>
          <w:ilvl w:val="0"/>
          <w:numId w:val="2"/>
        </w:numPr>
        <w:spacing w:line="360" w:lineRule="auto"/>
        <w:ind w:left="567" w:hanging="283"/>
        <w:jc w:val="both"/>
        <w:rPr>
          <w:rFonts w:asciiTheme="majorHAnsi" w:hAnsiTheme="majorHAnsi"/>
          <w:b/>
          <w:bCs/>
          <w:color w:val="auto"/>
          <w:sz w:val="22"/>
          <w:szCs w:val="22"/>
          <w:lang w:val="el-GR"/>
        </w:rPr>
      </w:pPr>
      <w:r w:rsidRPr="00BB26B3">
        <w:rPr>
          <w:rFonts w:asciiTheme="majorHAnsi" w:hAnsiTheme="majorHAnsi"/>
          <w:b/>
          <w:bCs/>
          <w:color w:val="auto"/>
          <w:sz w:val="22"/>
          <w:szCs w:val="22"/>
          <w:lang w:val="el-GR"/>
        </w:rPr>
        <w:lastRenderedPageBreak/>
        <w:t>Παραγωγικός &amp; Μηχανολογικός Εξοπλισμός</w:t>
      </w:r>
    </w:p>
    <w:p w14:paraId="14C144AC" w14:textId="29DD1822" w:rsidR="00281094" w:rsidRDefault="00BB26B3" w:rsidP="00BB26B3">
      <w:pPr>
        <w:pStyle w:val="Default"/>
        <w:spacing w:line="360" w:lineRule="auto"/>
        <w:ind w:left="567"/>
        <w:jc w:val="both"/>
        <w:rPr>
          <w:rFonts w:asciiTheme="majorHAnsi" w:hAnsiTheme="majorHAnsi"/>
          <w:color w:val="auto"/>
          <w:sz w:val="22"/>
          <w:szCs w:val="22"/>
          <w:lang w:val="el-GR"/>
        </w:rPr>
      </w:pPr>
      <w:r w:rsidRPr="00BB26B3">
        <w:rPr>
          <w:rFonts w:asciiTheme="majorHAnsi" w:hAnsiTheme="majorHAnsi"/>
          <w:color w:val="auto"/>
          <w:sz w:val="22"/>
          <w:szCs w:val="22"/>
          <w:lang w:val="el-GR"/>
        </w:rPr>
        <w:t>Επιλέξιμες είναι δαπάνες που αφορούν στην προμήθεια, μεταφορά εγκατάσταση και λειτουργία, νέων σύγχρονων μηχανημάτων κάθε μορφής που στοχεύουν στον εκσυγχρονισμό και στην ποιοτική αναβάθμιση των παρεχόμενων προϊόντων ή/και υπηρεσιών της ενισχυόμενης επιχείρησης, ή / και την επέκταση της παραγωγικής δραστηριότητας τους.</w:t>
      </w:r>
      <w:r>
        <w:rPr>
          <w:rFonts w:asciiTheme="majorHAnsi" w:hAnsiTheme="majorHAnsi"/>
          <w:color w:val="auto"/>
          <w:sz w:val="22"/>
          <w:szCs w:val="22"/>
          <w:lang w:val="el-GR"/>
        </w:rPr>
        <w:t xml:space="preserve"> </w:t>
      </w:r>
      <w:r w:rsidRPr="00BB26B3">
        <w:rPr>
          <w:rFonts w:asciiTheme="majorHAnsi" w:hAnsiTheme="majorHAnsi"/>
          <w:color w:val="auto"/>
          <w:sz w:val="22"/>
          <w:szCs w:val="22"/>
          <w:lang w:val="el-GR"/>
        </w:rPr>
        <w:t>Μπορεί ενδεικτικά να περιλαμβάνονται δαπάνες που αφορούν σε:</w:t>
      </w:r>
    </w:p>
    <w:p w14:paraId="4C15B930" w14:textId="40213DF1" w:rsidR="0080353C" w:rsidRPr="0080353C" w:rsidRDefault="0080353C" w:rsidP="0080353C">
      <w:pPr>
        <w:pStyle w:val="Default"/>
        <w:numPr>
          <w:ilvl w:val="0"/>
          <w:numId w:val="15"/>
        </w:numPr>
        <w:spacing w:line="360" w:lineRule="auto"/>
        <w:jc w:val="both"/>
        <w:rPr>
          <w:rFonts w:asciiTheme="majorHAnsi" w:hAnsiTheme="majorHAnsi"/>
          <w:color w:val="auto"/>
          <w:sz w:val="22"/>
          <w:szCs w:val="22"/>
          <w:lang w:val="el-GR"/>
        </w:rPr>
      </w:pPr>
      <w:r w:rsidRPr="0080353C">
        <w:rPr>
          <w:rFonts w:asciiTheme="majorHAnsi" w:hAnsiTheme="majorHAnsi"/>
          <w:color w:val="auto"/>
          <w:sz w:val="22"/>
          <w:szCs w:val="22"/>
          <w:lang w:val="el-GR"/>
        </w:rPr>
        <w:t>Προμήθεια μηχανημάτων και εξοπλισμού για τους χώρους παραγωγής, αποθήκευσης, διάθεσης προϊόντων και χώρους παροχής υπηρεσιών.</w:t>
      </w:r>
    </w:p>
    <w:p w14:paraId="3A06458F" w14:textId="77777777" w:rsidR="0080353C" w:rsidRPr="0080353C" w:rsidRDefault="0080353C" w:rsidP="0080353C">
      <w:pPr>
        <w:pStyle w:val="Default"/>
        <w:numPr>
          <w:ilvl w:val="0"/>
          <w:numId w:val="15"/>
        </w:numPr>
        <w:spacing w:line="360" w:lineRule="auto"/>
        <w:jc w:val="both"/>
        <w:rPr>
          <w:rFonts w:asciiTheme="majorHAnsi" w:hAnsiTheme="majorHAnsi"/>
          <w:color w:val="auto"/>
          <w:sz w:val="22"/>
          <w:szCs w:val="22"/>
          <w:lang w:val="el-GR"/>
        </w:rPr>
      </w:pPr>
      <w:r w:rsidRPr="0080353C">
        <w:rPr>
          <w:rFonts w:asciiTheme="majorHAnsi" w:hAnsiTheme="majorHAnsi"/>
          <w:color w:val="auto"/>
          <w:sz w:val="22"/>
          <w:szCs w:val="22"/>
          <w:lang w:val="el-GR"/>
        </w:rPr>
        <w:t>Προμήθεια εξοπλισμού που είναι απαραίτητος για την άσκηση της δραστηριότητα της επένδυσης.</w:t>
      </w:r>
    </w:p>
    <w:p w14:paraId="64730F48" w14:textId="6FD9911C" w:rsidR="00281094" w:rsidRDefault="0080353C" w:rsidP="0080353C">
      <w:pPr>
        <w:pStyle w:val="Default"/>
        <w:numPr>
          <w:ilvl w:val="0"/>
          <w:numId w:val="15"/>
        </w:numPr>
        <w:spacing w:line="360" w:lineRule="auto"/>
        <w:jc w:val="both"/>
        <w:rPr>
          <w:rFonts w:asciiTheme="majorHAnsi" w:hAnsiTheme="majorHAnsi"/>
          <w:color w:val="auto"/>
          <w:sz w:val="22"/>
          <w:szCs w:val="22"/>
          <w:lang w:val="el-GR"/>
        </w:rPr>
      </w:pPr>
      <w:r w:rsidRPr="0080353C">
        <w:rPr>
          <w:rFonts w:asciiTheme="majorHAnsi" w:hAnsiTheme="majorHAnsi"/>
          <w:color w:val="auto"/>
          <w:sz w:val="22"/>
          <w:szCs w:val="22"/>
          <w:lang w:val="el-GR"/>
        </w:rPr>
        <w:t>Προμήθεια εξοπλισμού που προορίζεται για εργαστηριακές μετρήσεις, δοκιμές και αναλύσεις.</w:t>
      </w:r>
    </w:p>
    <w:p w14:paraId="5D6FB7AC" w14:textId="77777777" w:rsidR="00281094" w:rsidRDefault="00281094" w:rsidP="00281094">
      <w:pPr>
        <w:pStyle w:val="Default"/>
        <w:spacing w:line="360" w:lineRule="auto"/>
        <w:jc w:val="both"/>
        <w:rPr>
          <w:rFonts w:asciiTheme="majorHAnsi" w:hAnsiTheme="majorHAnsi"/>
          <w:color w:val="auto"/>
          <w:sz w:val="22"/>
          <w:szCs w:val="22"/>
          <w:lang w:val="el-GR"/>
        </w:rPr>
      </w:pPr>
    </w:p>
    <w:p w14:paraId="497E6B2E" w14:textId="6ECB1FF3" w:rsidR="009E1CED" w:rsidRPr="0014766D" w:rsidRDefault="009E1CED" w:rsidP="009E1CED">
      <w:pPr>
        <w:pStyle w:val="Default"/>
        <w:numPr>
          <w:ilvl w:val="0"/>
          <w:numId w:val="2"/>
        </w:numPr>
        <w:spacing w:line="360" w:lineRule="auto"/>
        <w:ind w:left="567" w:hanging="283"/>
        <w:jc w:val="both"/>
        <w:rPr>
          <w:rFonts w:asciiTheme="majorHAnsi" w:hAnsiTheme="majorHAnsi"/>
          <w:b/>
          <w:bCs/>
          <w:color w:val="auto"/>
          <w:sz w:val="22"/>
          <w:szCs w:val="22"/>
          <w:lang w:val="el-GR"/>
        </w:rPr>
      </w:pPr>
      <w:r w:rsidRPr="009E1CED">
        <w:rPr>
          <w:rFonts w:asciiTheme="majorHAnsi" w:hAnsiTheme="majorHAnsi"/>
          <w:b/>
          <w:bCs/>
          <w:color w:val="auto"/>
          <w:sz w:val="22"/>
          <w:szCs w:val="22"/>
          <w:lang w:val="el-GR"/>
        </w:rPr>
        <w:t>Ηλεκτρικά μεταφορικά μέσα</w:t>
      </w:r>
      <w:r w:rsidRPr="00523809">
        <w:rPr>
          <w:rFonts w:asciiTheme="majorHAnsi" w:hAnsiTheme="majorHAnsi"/>
          <w:b/>
          <w:bCs/>
          <w:color w:val="auto"/>
          <w:sz w:val="22"/>
          <w:szCs w:val="22"/>
          <w:lang w:val="el-GR"/>
        </w:rPr>
        <w:t xml:space="preserve">– Έως </w:t>
      </w:r>
      <w:r>
        <w:rPr>
          <w:rFonts w:asciiTheme="majorHAnsi" w:hAnsiTheme="majorHAnsi"/>
          <w:b/>
          <w:bCs/>
          <w:color w:val="auto"/>
          <w:sz w:val="22"/>
          <w:szCs w:val="22"/>
          <w:lang w:val="el-GR"/>
        </w:rPr>
        <w:t>3.600</w:t>
      </w:r>
      <w:r w:rsidRPr="00523809">
        <w:rPr>
          <w:rFonts w:asciiTheme="majorHAnsi" w:hAnsiTheme="majorHAnsi"/>
          <w:b/>
          <w:bCs/>
          <w:color w:val="auto"/>
          <w:sz w:val="22"/>
          <w:szCs w:val="22"/>
          <w:lang w:val="el-GR"/>
        </w:rPr>
        <w:t>€</w:t>
      </w:r>
    </w:p>
    <w:p w14:paraId="66E906EC" w14:textId="7029B9E1" w:rsidR="009E1CED" w:rsidRPr="009E1CED" w:rsidRDefault="009E1CED" w:rsidP="009E1CED">
      <w:pPr>
        <w:pStyle w:val="Default"/>
        <w:spacing w:line="360" w:lineRule="auto"/>
        <w:ind w:left="567"/>
        <w:jc w:val="both"/>
        <w:rPr>
          <w:rFonts w:asciiTheme="majorHAnsi" w:hAnsiTheme="majorHAnsi"/>
          <w:color w:val="auto"/>
          <w:sz w:val="22"/>
          <w:szCs w:val="22"/>
          <w:lang w:val="el-GR"/>
        </w:rPr>
      </w:pPr>
      <w:r w:rsidRPr="009E1CED">
        <w:rPr>
          <w:rFonts w:asciiTheme="majorHAnsi" w:hAnsiTheme="majorHAnsi"/>
          <w:color w:val="auto"/>
          <w:sz w:val="22"/>
          <w:szCs w:val="22"/>
          <w:lang w:val="el-GR"/>
        </w:rPr>
        <w:t xml:space="preserve">Στην υποκατηγορία περιλαμβάνεται </w:t>
      </w:r>
      <w:r w:rsidRPr="009E1CED">
        <w:rPr>
          <w:rFonts w:asciiTheme="majorHAnsi" w:hAnsiTheme="majorHAnsi"/>
          <w:b/>
          <w:bCs/>
          <w:color w:val="auto"/>
          <w:sz w:val="22"/>
          <w:szCs w:val="22"/>
          <w:lang w:val="el-GR"/>
        </w:rPr>
        <w:t>αποκλειστικά η χρηματοδοτική μίσθωση αμιγώς αυτοκινούμενων ηλεκτρικών οχημάτων για την κάλυψη αποκλειστικά των αναγκών της επιχείρησης</w:t>
      </w:r>
      <w:r w:rsidRPr="009E1CED">
        <w:rPr>
          <w:rFonts w:asciiTheme="majorHAnsi" w:hAnsiTheme="majorHAnsi"/>
          <w:color w:val="auto"/>
          <w:sz w:val="22"/>
          <w:szCs w:val="22"/>
          <w:lang w:val="el-GR"/>
        </w:rPr>
        <w:t>.</w:t>
      </w:r>
      <w:r>
        <w:rPr>
          <w:rFonts w:asciiTheme="majorHAnsi" w:hAnsiTheme="majorHAnsi"/>
          <w:color w:val="auto"/>
          <w:sz w:val="22"/>
          <w:szCs w:val="22"/>
          <w:lang w:val="el-GR"/>
        </w:rPr>
        <w:t xml:space="preserve"> </w:t>
      </w:r>
      <w:r w:rsidRPr="009E1CED">
        <w:rPr>
          <w:rFonts w:asciiTheme="majorHAnsi" w:hAnsiTheme="majorHAnsi"/>
          <w:color w:val="auto"/>
          <w:sz w:val="22"/>
          <w:szCs w:val="22"/>
          <w:lang w:val="el-GR"/>
        </w:rPr>
        <w:t>Η δαπάνη της χρηματοδοτικής μίσθωσης θα αφορά διάστημα έως 18 μηνών και η μέγιστη επιλέξιμη δημόσια δαπάνη θα ανέρχεται σε 200€/μήνα, ήτοι συνολικά έως 3.600€.</w:t>
      </w:r>
    </w:p>
    <w:p w14:paraId="11E2977C" w14:textId="14BB802D" w:rsidR="009E1CED" w:rsidRPr="00B11714" w:rsidRDefault="009E1CED" w:rsidP="009E1CED">
      <w:pPr>
        <w:pStyle w:val="Default"/>
        <w:spacing w:line="360" w:lineRule="auto"/>
        <w:ind w:left="567"/>
        <w:jc w:val="both"/>
        <w:rPr>
          <w:rFonts w:asciiTheme="majorHAnsi" w:hAnsiTheme="majorHAnsi"/>
          <w:color w:val="auto"/>
          <w:sz w:val="22"/>
          <w:szCs w:val="22"/>
          <w:lang w:val="el-GR"/>
        </w:rPr>
      </w:pPr>
      <w:r w:rsidRPr="009E1CED">
        <w:rPr>
          <w:rFonts w:asciiTheme="majorHAnsi" w:hAnsiTheme="majorHAnsi"/>
          <w:color w:val="auto"/>
          <w:sz w:val="22"/>
          <w:szCs w:val="22"/>
          <w:lang w:val="el-GR"/>
        </w:rPr>
        <w:t>Το μεταφορικό μέσο θα πρέπει να είναι αποκλειστικά</w:t>
      </w:r>
      <w:r w:rsidRPr="00B11714">
        <w:rPr>
          <w:rFonts w:asciiTheme="majorHAnsi" w:hAnsiTheme="majorHAnsi"/>
          <w:color w:val="auto"/>
          <w:sz w:val="22"/>
          <w:szCs w:val="22"/>
          <w:lang w:val="el-GR"/>
        </w:rPr>
        <w:t>:</w:t>
      </w:r>
    </w:p>
    <w:p w14:paraId="2CF67651" w14:textId="3D62495A" w:rsidR="009E1CED" w:rsidRPr="009E1CED" w:rsidRDefault="009E1CED" w:rsidP="009E1CED">
      <w:pPr>
        <w:pStyle w:val="Default"/>
        <w:numPr>
          <w:ilvl w:val="0"/>
          <w:numId w:val="15"/>
        </w:numPr>
        <w:spacing w:line="360" w:lineRule="auto"/>
        <w:jc w:val="both"/>
        <w:rPr>
          <w:rFonts w:asciiTheme="majorHAnsi" w:hAnsiTheme="majorHAnsi"/>
          <w:color w:val="auto"/>
          <w:sz w:val="22"/>
          <w:szCs w:val="22"/>
          <w:lang w:val="el-GR"/>
        </w:rPr>
      </w:pPr>
      <w:r w:rsidRPr="003066B9">
        <w:rPr>
          <w:rFonts w:asciiTheme="majorHAnsi" w:hAnsiTheme="majorHAnsi"/>
          <w:color w:val="auto"/>
          <w:sz w:val="22"/>
          <w:szCs w:val="22"/>
          <w:lang w:val="el-GR"/>
        </w:rPr>
        <w:t xml:space="preserve">Προμήθεια </w:t>
      </w:r>
      <w:r w:rsidRPr="009E1CED">
        <w:rPr>
          <w:rFonts w:asciiTheme="majorHAnsi" w:hAnsiTheme="majorHAnsi"/>
          <w:color w:val="auto"/>
          <w:sz w:val="22"/>
          <w:szCs w:val="22"/>
          <w:lang w:val="el-GR"/>
        </w:rPr>
        <w:t>είτε επαγγελματικής χρήσης,</w:t>
      </w:r>
    </w:p>
    <w:p w14:paraId="17FED871" w14:textId="0625D221" w:rsidR="009E1CED" w:rsidRDefault="009E1CED" w:rsidP="009E1CED">
      <w:pPr>
        <w:pStyle w:val="Default"/>
        <w:numPr>
          <w:ilvl w:val="0"/>
          <w:numId w:val="15"/>
        </w:numPr>
        <w:spacing w:line="360" w:lineRule="auto"/>
        <w:jc w:val="both"/>
        <w:rPr>
          <w:rFonts w:asciiTheme="majorHAnsi" w:hAnsiTheme="majorHAnsi"/>
          <w:color w:val="auto"/>
          <w:sz w:val="22"/>
          <w:szCs w:val="22"/>
          <w:lang w:val="el-GR"/>
        </w:rPr>
      </w:pPr>
      <w:r w:rsidRPr="009E1CED">
        <w:rPr>
          <w:rFonts w:asciiTheme="majorHAnsi" w:hAnsiTheme="majorHAnsi"/>
          <w:color w:val="auto"/>
          <w:sz w:val="22"/>
          <w:szCs w:val="22"/>
          <w:lang w:val="el-GR"/>
        </w:rPr>
        <w:t>είτε μικτής χρήσης έως εννέα (9) θέσεων και να χρησιμοποιείται για την μεταφορά πελατών χωρίς κόμιστρο ή/και εξοπλισμού/υλικών</w:t>
      </w:r>
      <w:r w:rsidRPr="00472D98">
        <w:rPr>
          <w:rFonts w:asciiTheme="majorHAnsi" w:hAnsiTheme="majorHAnsi"/>
          <w:color w:val="auto"/>
          <w:sz w:val="22"/>
          <w:szCs w:val="22"/>
          <w:lang w:val="el-GR"/>
        </w:rPr>
        <w:t>.</w:t>
      </w:r>
    </w:p>
    <w:p w14:paraId="4060463B" w14:textId="04D22060" w:rsidR="00F001F3" w:rsidRPr="009E1CED" w:rsidRDefault="009E1CED" w:rsidP="004C7FB4">
      <w:pPr>
        <w:pStyle w:val="Default"/>
        <w:spacing w:line="360" w:lineRule="auto"/>
        <w:ind w:left="567"/>
        <w:jc w:val="both"/>
        <w:rPr>
          <w:rFonts w:asciiTheme="majorHAnsi" w:hAnsiTheme="majorHAnsi"/>
          <w:color w:val="auto"/>
          <w:sz w:val="22"/>
          <w:szCs w:val="22"/>
          <w:lang w:val="el-GR"/>
        </w:rPr>
      </w:pPr>
      <w:r w:rsidRPr="009E1CED">
        <w:rPr>
          <w:rFonts w:asciiTheme="majorHAnsi" w:hAnsiTheme="majorHAnsi"/>
          <w:color w:val="auto"/>
          <w:sz w:val="22"/>
          <w:szCs w:val="22"/>
          <w:lang w:val="el-GR"/>
        </w:rPr>
        <w:t>Η προμήθεια του μεταφορικού μέσου θα πρέπει να δικαιολογείται πλήρως από την δραστηριότητα που ασκεί η επιχείρηση και να μην προορίζεται για μίσθωση και με την προϋπόθεση τήρησης του άρθρου 27 της ΥΑΕΚΕΔ.</w:t>
      </w:r>
    </w:p>
    <w:p w14:paraId="00C631A9" w14:textId="77777777" w:rsidR="00F001F3" w:rsidRDefault="00F001F3" w:rsidP="00352D93">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77CD8963" w14:textId="5643AAFC" w:rsidR="00E64713" w:rsidRPr="00B755C0" w:rsidRDefault="00E64713" w:rsidP="00E64713">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B755C0">
        <w:rPr>
          <w:rFonts w:asciiTheme="majorHAnsi" w:eastAsia="Calibri" w:hAnsiTheme="majorHAnsi" w:cs="Times New Roman"/>
          <w:b/>
          <w:bCs/>
          <w:color w:val="35ABB2"/>
          <w:kern w:val="0"/>
          <w:sz w:val="26"/>
          <w:szCs w:val="26"/>
          <w:lang w:val="el-GR" w:bidi="ar-SA"/>
          <w14:ligatures w14:val="none"/>
        </w:rPr>
        <w:t>Δαπάνες για Κτήρια, Γήπεδα, Εγκαταστάσεις &amp; Περιβάλλοντα Χώρο</w:t>
      </w:r>
      <w:r w:rsidR="00DA1428" w:rsidRPr="00DA1428">
        <w:rPr>
          <w:rFonts w:asciiTheme="majorHAnsi" w:eastAsia="Calibri" w:hAnsiTheme="majorHAnsi" w:cs="Times New Roman"/>
          <w:b/>
          <w:bCs/>
          <w:color w:val="35ABB2"/>
          <w:kern w:val="0"/>
          <w:sz w:val="26"/>
          <w:szCs w:val="26"/>
          <w:lang w:val="el-GR" w:bidi="ar-SA"/>
          <w14:ligatures w14:val="none"/>
        </w:rPr>
        <w:t>.</w:t>
      </w:r>
    </w:p>
    <w:p w14:paraId="18A20E46" w14:textId="7F608A04" w:rsidR="009D1B2B" w:rsidRPr="009D1B2B" w:rsidRDefault="009D1B2B" w:rsidP="009D1B2B">
      <w:pPr>
        <w:pStyle w:val="Default"/>
        <w:spacing w:line="360" w:lineRule="auto"/>
        <w:ind w:left="284"/>
        <w:jc w:val="both"/>
        <w:rPr>
          <w:rFonts w:asciiTheme="majorHAnsi" w:hAnsiTheme="majorHAnsi"/>
          <w:b/>
          <w:bCs/>
          <w:color w:val="auto"/>
          <w:sz w:val="22"/>
          <w:szCs w:val="22"/>
          <w:lang w:val="el-GR"/>
        </w:rPr>
      </w:pPr>
      <w:r w:rsidRPr="009D1B2B">
        <w:rPr>
          <w:rFonts w:asciiTheme="majorHAnsi" w:hAnsiTheme="majorHAnsi"/>
          <w:b/>
          <w:bCs/>
          <w:color w:val="auto"/>
          <w:sz w:val="22"/>
          <w:szCs w:val="22"/>
          <w:lang w:val="el-GR"/>
        </w:rPr>
        <w:t>Για την τεκμηρίωση του εύλογου του κόστους απαιτούνται: Μελέτη υπογεγραμμένη από ιδιώτη μηχανικό/ μηχανικούς ή δύο (2) προσφορές, από ανεξάρτητους μεταξύ τους κατασκευαστές, για κάθε δαπάνη καθαρής αξίας άνω των 20.000 €.</w:t>
      </w:r>
    </w:p>
    <w:p w14:paraId="500A9B8C" w14:textId="77777777" w:rsidR="009D1B2B" w:rsidRDefault="009D1B2B" w:rsidP="00E40AEA">
      <w:pPr>
        <w:pStyle w:val="Default"/>
        <w:spacing w:line="360" w:lineRule="auto"/>
        <w:ind w:left="284"/>
        <w:jc w:val="both"/>
        <w:rPr>
          <w:rFonts w:asciiTheme="majorHAnsi" w:hAnsiTheme="majorHAnsi"/>
          <w:color w:val="auto"/>
          <w:sz w:val="22"/>
          <w:szCs w:val="22"/>
          <w:lang w:val="el-GR"/>
        </w:rPr>
      </w:pPr>
    </w:p>
    <w:p w14:paraId="04E90DC7" w14:textId="005ECDD2" w:rsidR="00E40AEA" w:rsidRPr="00E40AEA" w:rsidRDefault="00E40AEA" w:rsidP="00E40AEA">
      <w:pPr>
        <w:pStyle w:val="Default"/>
        <w:spacing w:line="360" w:lineRule="auto"/>
        <w:ind w:left="284"/>
        <w:jc w:val="both"/>
        <w:rPr>
          <w:rFonts w:asciiTheme="majorHAnsi" w:hAnsiTheme="majorHAnsi"/>
          <w:color w:val="auto"/>
          <w:sz w:val="22"/>
          <w:szCs w:val="22"/>
          <w:lang w:val="el-GR"/>
        </w:rPr>
      </w:pPr>
      <w:r w:rsidRPr="00E40AEA">
        <w:rPr>
          <w:rFonts w:asciiTheme="majorHAnsi" w:hAnsiTheme="majorHAnsi"/>
          <w:color w:val="auto"/>
          <w:sz w:val="22"/>
          <w:szCs w:val="22"/>
          <w:lang w:val="el-GR"/>
        </w:rPr>
        <w:t>Προκειμένου να είναι επιλέξιμες οι δαπάνες της κατηγορίας θα πρέπει να τηρούνται οι ακόλουθοι όροι:</w:t>
      </w:r>
    </w:p>
    <w:p w14:paraId="68AEA4EA" w14:textId="71EED0C4" w:rsidR="00E40AEA" w:rsidRPr="00E40AEA" w:rsidRDefault="00E40AEA" w:rsidP="00E40AEA">
      <w:pPr>
        <w:pStyle w:val="Default"/>
        <w:numPr>
          <w:ilvl w:val="0"/>
          <w:numId w:val="26"/>
        </w:numPr>
        <w:spacing w:line="360" w:lineRule="auto"/>
        <w:jc w:val="both"/>
        <w:rPr>
          <w:rFonts w:asciiTheme="majorHAnsi" w:hAnsiTheme="majorHAnsi"/>
          <w:color w:val="auto"/>
          <w:sz w:val="22"/>
          <w:szCs w:val="22"/>
          <w:lang w:val="el-GR"/>
        </w:rPr>
      </w:pPr>
      <w:r w:rsidRPr="00E40AEA">
        <w:rPr>
          <w:rFonts w:asciiTheme="majorHAnsi" w:hAnsiTheme="majorHAnsi"/>
          <w:color w:val="auto"/>
          <w:sz w:val="22"/>
          <w:szCs w:val="22"/>
          <w:lang w:val="el-GR"/>
        </w:rPr>
        <w:t>Κατά την υλοποίηση του επενδυτικού σχεδίου, θα πρέπει να βεβαιωθεί ότι έχουν εκδοθεί όλες οι απαραίτητες εγκρίσεις και αδειοδοτήσεις για τις εργασίες ή σε περίπτωση που δεν απαιτούνται θα πρέπει να υποβάλλεται η ηλεκτρονική βεβαίωση αρμόδιου μηχανικού ότι δεν απαιτείται κάποιου είδους έγκριση, όπως ορίζει η κείμενη νομοθεσία (άρθρο 52 Ν4759/9-12-2020/ ΦΕΚ Α245). Σε διαφορετική περίπτωση οι δαπάνες θα κρίνονται μη επιλέξιμες.</w:t>
      </w:r>
    </w:p>
    <w:p w14:paraId="16F3E071" w14:textId="36E465E0" w:rsidR="00E40AEA" w:rsidRPr="00E40AEA" w:rsidRDefault="00E40AEA" w:rsidP="00E40AEA">
      <w:pPr>
        <w:pStyle w:val="Default"/>
        <w:numPr>
          <w:ilvl w:val="0"/>
          <w:numId w:val="26"/>
        </w:numPr>
        <w:spacing w:line="360" w:lineRule="auto"/>
        <w:jc w:val="both"/>
        <w:rPr>
          <w:rFonts w:asciiTheme="majorHAnsi" w:hAnsiTheme="majorHAnsi"/>
          <w:color w:val="auto"/>
          <w:sz w:val="22"/>
          <w:szCs w:val="22"/>
          <w:lang w:val="el-GR"/>
        </w:rPr>
      </w:pPr>
      <w:r w:rsidRPr="00E40AEA">
        <w:rPr>
          <w:rFonts w:asciiTheme="majorHAnsi" w:hAnsiTheme="majorHAnsi"/>
          <w:color w:val="auto"/>
          <w:sz w:val="22"/>
          <w:szCs w:val="22"/>
          <w:lang w:val="el-GR"/>
        </w:rPr>
        <w:t>Να υπάρχει ιδιοκτησία ή παραχώρηση χρήσης ή μίσθωση ή νόμιμη σύσταση επικαρπίας επί του ακινήτου για χρονικό διάστημα τουλάχιστον τριών (3) ετών. Η περίοδος της τριετίας υπολογίζεται από την ημερομηνία έγκρισης της αίτησης χρηματοδότησης. Η ιδιοκτησία, η μίσθωση, η σύσταση επικαρπίας ή η παραχώρηση χρήσης θα πρέπει να καταδεικνύεται πριν την καταβολή της δημόσιας χρηματοδότησης.</w:t>
      </w:r>
    </w:p>
    <w:p w14:paraId="5F70B0E5" w14:textId="60391947" w:rsidR="00E40AEA" w:rsidRPr="007A4B95" w:rsidRDefault="00E40AEA" w:rsidP="007A4B95">
      <w:pPr>
        <w:pStyle w:val="Default"/>
        <w:numPr>
          <w:ilvl w:val="0"/>
          <w:numId w:val="26"/>
        </w:numPr>
        <w:spacing w:line="360" w:lineRule="auto"/>
        <w:jc w:val="both"/>
        <w:rPr>
          <w:rFonts w:asciiTheme="majorHAnsi" w:hAnsiTheme="majorHAnsi"/>
          <w:color w:val="auto"/>
          <w:sz w:val="22"/>
          <w:szCs w:val="22"/>
          <w:lang w:val="el-GR"/>
        </w:rPr>
      </w:pPr>
      <w:r w:rsidRPr="00E40AEA">
        <w:rPr>
          <w:rFonts w:asciiTheme="majorHAnsi" w:hAnsiTheme="majorHAnsi"/>
          <w:color w:val="auto"/>
          <w:sz w:val="22"/>
          <w:szCs w:val="22"/>
          <w:lang w:val="el-GR"/>
        </w:rPr>
        <w:t>Να είναι καταχωρημένες στο μητρώο παγίων όταν πληρούν τις προϋποθέσεις για να θεωρηθούν πάγιο περιουσιακό στοιχείο σύμφωνα με τα λογιστικά πρότυπα και τις φορολογικές διατάξεις.</w:t>
      </w:r>
    </w:p>
    <w:p w14:paraId="5EDFD598" w14:textId="5388A2D4" w:rsidR="00A92EB2" w:rsidRDefault="00E40AEA" w:rsidP="00A92EB2">
      <w:pPr>
        <w:pStyle w:val="Default"/>
        <w:numPr>
          <w:ilvl w:val="0"/>
          <w:numId w:val="2"/>
        </w:numPr>
        <w:spacing w:line="360" w:lineRule="auto"/>
        <w:ind w:left="567" w:hanging="283"/>
        <w:jc w:val="both"/>
        <w:rPr>
          <w:rFonts w:asciiTheme="majorHAnsi" w:hAnsiTheme="majorHAnsi"/>
          <w:b/>
          <w:bCs/>
          <w:color w:val="auto"/>
          <w:sz w:val="22"/>
          <w:szCs w:val="22"/>
          <w:lang w:val="el-GR"/>
        </w:rPr>
      </w:pPr>
      <w:r w:rsidRPr="00E40AEA">
        <w:rPr>
          <w:rFonts w:asciiTheme="majorHAnsi" w:hAnsiTheme="majorHAnsi"/>
          <w:b/>
          <w:bCs/>
          <w:color w:val="auto"/>
          <w:sz w:val="22"/>
          <w:szCs w:val="22"/>
          <w:lang w:val="el-GR"/>
        </w:rPr>
        <w:t>Διαμόρφωση εσωτερικού χώρου μικρής κλίμακας – Έως 5.000€.</w:t>
      </w:r>
    </w:p>
    <w:p w14:paraId="59E3D690" w14:textId="77777777" w:rsidR="00E40AEA" w:rsidRPr="00E40AEA" w:rsidRDefault="00F754B9" w:rsidP="00E40AEA">
      <w:pPr>
        <w:pStyle w:val="Default"/>
        <w:numPr>
          <w:ilvl w:val="0"/>
          <w:numId w:val="2"/>
        </w:numPr>
        <w:spacing w:line="360" w:lineRule="auto"/>
        <w:ind w:left="567" w:hanging="283"/>
        <w:jc w:val="both"/>
        <w:rPr>
          <w:rFonts w:asciiTheme="majorHAnsi" w:hAnsiTheme="majorHAnsi"/>
          <w:b/>
          <w:bCs/>
          <w:color w:val="auto"/>
          <w:sz w:val="22"/>
          <w:szCs w:val="22"/>
          <w:lang w:val="el-GR"/>
        </w:rPr>
      </w:pPr>
      <w:r w:rsidRPr="00F754B9">
        <w:rPr>
          <w:rFonts w:asciiTheme="majorHAnsi" w:hAnsiTheme="majorHAnsi"/>
          <w:b/>
          <w:bCs/>
          <w:color w:val="auto"/>
          <w:sz w:val="22"/>
          <w:szCs w:val="22"/>
          <w:lang w:val="el-GR"/>
        </w:rPr>
        <w:t>Κατασκευές, διαμορφώσεις, επεκτάσεις, διαρρυθμίσεις για την διευκόλυνση προσβασιμότητας των ΑμεΑ</w:t>
      </w:r>
      <w:r w:rsidR="00E40AEA" w:rsidRPr="00E40AEA">
        <w:rPr>
          <w:rFonts w:asciiTheme="majorHAnsi" w:hAnsiTheme="majorHAnsi"/>
          <w:b/>
          <w:bCs/>
          <w:color w:val="auto"/>
          <w:sz w:val="22"/>
          <w:szCs w:val="22"/>
          <w:lang w:val="el-GR"/>
        </w:rPr>
        <w:t>– Έως 5.000€.</w:t>
      </w:r>
    </w:p>
    <w:p w14:paraId="4102BB89" w14:textId="28E6C3A0" w:rsidR="00727AEB" w:rsidRPr="00E40AEA" w:rsidRDefault="00E40AEA" w:rsidP="00E40AEA">
      <w:pPr>
        <w:pStyle w:val="Default"/>
        <w:spacing w:line="360" w:lineRule="auto"/>
        <w:ind w:left="284"/>
        <w:jc w:val="both"/>
        <w:rPr>
          <w:rFonts w:asciiTheme="majorHAnsi" w:hAnsiTheme="majorHAnsi"/>
          <w:color w:val="auto"/>
          <w:sz w:val="22"/>
          <w:szCs w:val="22"/>
          <w:lang w:val="el-GR"/>
        </w:rPr>
      </w:pPr>
      <w:r w:rsidRPr="00E40AEA">
        <w:rPr>
          <w:rFonts w:asciiTheme="majorHAnsi" w:hAnsiTheme="majorHAnsi"/>
          <w:color w:val="auto"/>
          <w:sz w:val="22"/>
          <w:szCs w:val="22"/>
          <w:lang w:val="el-GR"/>
        </w:rPr>
        <w:t>Η δαπάνη για διαμορφώσεις χώρου μικρής κλίμακας αφορά στην υλοποίηση σχετικών εργασιών π.χ. κατασκευές, διαμορφώσεις, επεκτάσεις, διαρρυθμίσεις στις κτιριακές εγκαταστάσεις του Δικαιούχου (καθώς και στις βοηθητικές εγκαταστάσεις και στον περιβάλλοντα χώρο) οι οποίες στοχεύουν μεταξύ άλλων και στην διευκόλυνση της προσβασιμότητας των ΑΜΕΑ σύμφωνα με τις Οδηγίες Σχεδιασμού για ΑμΕΑ «Σχεδιάζοντας για όλους» του ΥΠΕΚΑ.</w:t>
      </w:r>
    </w:p>
    <w:p w14:paraId="688CF844" w14:textId="77777777" w:rsidR="00F44114" w:rsidRDefault="00F44114" w:rsidP="00003696">
      <w:pPr>
        <w:pStyle w:val="Default"/>
        <w:spacing w:line="360" w:lineRule="auto"/>
        <w:jc w:val="both"/>
        <w:rPr>
          <w:rFonts w:asciiTheme="majorHAnsi" w:hAnsiTheme="majorHAnsi"/>
          <w:color w:val="auto"/>
          <w:sz w:val="22"/>
          <w:szCs w:val="22"/>
          <w:lang w:val="el-GR"/>
        </w:rPr>
      </w:pPr>
    </w:p>
    <w:p w14:paraId="3CE8BF46" w14:textId="031078D1" w:rsidR="003D5A8E" w:rsidRPr="008D03AF" w:rsidRDefault="003D5A8E" w:rsidP="003D5A8E">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lastRenderedPageBreak/>
        <w:t xml:space="preserve">Δαπάνες </w:t>
      </w:r>
      <w:r>
        <w:rPr>
          <w:rFonts w:asciiTheme="majorHAnsi" w:eastAsia="Calibri" w:hAnsiTheme="majorHAnsi" w:cs="Times New Roman"/>
          <w:b/>
          <w:bCs/>
          <w:color w:val="35ABB2"/>
          <w:kern w:val="0"/>
          <w:sz w:val="26"/>
          <w:szCs w:val="26"/>
          <w:lang w:val="el-GR" w:bidi="ar-SA"/>
          <w14:ligatures w14:val="none"/>
        </w:rPr>
        <w:t xml:space="preserve">για </w:t>
      </w:r>
      <w:r w:rsidRPr="008D03AF">
        <w:rPr>
          <w:rFonts w:asciiTheme="majorHAnsi" w:eastAsia="Calibri" w:hAnsiTheme="majorHAnsi" w:cs="Times New Roman"/>
          <w:b/>
          <w:bCs/>
          <w:color w:val="35ABB2"/>
          <w:kern w:val="0"/>
          <w:sz w:val="26"/>
          <w:szCs w:val="26"/>
          <w:lang w:val="el-GR" w:bidi="ar-SA"/>
          <w14:ligatures w14:val="none"/>
        </w:rPr>
        <w:t>Παροχής Υπηρεσιών</w:t>
      </w:r>
      <w:r>
        <w:rPr>
          <w:rFonts w:asciiTheme="majorHAnsi" w:eastAsia="Calibri" w:hAnsiTheme="majorHAnsi" w:cs="Times New Roman"/>
          <w:b/>
          <w:bCs/>
          <w:color w:val="35ABB2"/>
          <w:kern w:val="0"/>
          <w:sz w:val="26"/>
          <w:szCs w:val="26"/>
          <w:lang w:val="el-GR" w:bidi="ar-SA"/>
          <w14:ligatures w14:val="none"/>
        </w:rPr>
        <w:t xml:space="preserve"> </w:t>
      </w:r>
      <w:r w:rsidRPr="003D5A8E">
        <w:rPr>
          <w:rFonts w:asciiTheme="majorHAnsi" w:eastAsia="Calibri" w:hAnsiTheme="majorHAnsi" w:cs="Times New Roman"/>
          <w:b/>
          <w:bCs/>
          <w:color w:val="35ABB2"/>
          <w:kern w:val="0"/>
          <w:sz w:val="26"/>
          <w:szCs w:val="26"/>
          <w:lang w:val="el-GR" w:bidi="ar-SA"/>
          <w14:ligatures w14:val="none"/>
        </w:rPr>
        <w:t>– Έως 50% του Επιλέξιμου Π/Υ.</w:t>
      </w:r>
    </w:p>
    <w:p w14:paraId="1B44E266" w14:textId="58EE0B55" w:rsidR="009D1B2B" w:rsidRPr="009D1B2B" w:rsidRDefault="009D1B2B" w:rsidP="009D1B2B">
      <w:pPr>
        <w:pStyle w:val="Default"/>
        <w:spacing w:line="360" w:lineRule="auto"/>
        <w:ind w:left="284"/>
        <w:jc w:val="both"/>
        <w:rPr>
          <w:rFonts w:asciiTheme="majorHAnsi" w:hAnsiTheme="majorHAnsi"/>
          <w:b/>
          <w:bCs/>
          <w:color w:val="auto"/>
          <w:sz w:val="22"/>
          <w:szCs w:val="22"/>
          <w:lang w:val="el-GR"/>
        </w:rPr>
      </w:pPr>
      <w:r w:rsidRPr="009D1B2B">
        <w:rPr>
          <w:rFonts w:asciiTheme="majorHAnsi" w:hAnsiTheme="majorHAnsi"/>
          <w:b/>
          <w:bCs/>
          <w:color w:val="auto"/>
          <w:sz w:val="22"/>
          <w:szCs w:val="22"/>
          <w:lang w:val="el-GR"/>
        </w:rPr>
        <w:t>Για την τεκμηρίωση του εύλογου του κόστους απαιτούνται: Δύο (2) προσφορές, από ανεξάρτητους μεταξύ τους παρόχους υπηρεσιών, για κάθε δαπάνη καθαρής αξίας άνω των 20.000 €.</w:t>
      </w:r>
    </w:p>
    <w:p w14:paraId="19AA1D4B" w14:textId="5C0D1A98" w:rsidR="003D5A8E" w:rsidRPr="003D5A8E" w:rsidRDefault="003D5A8E" w:rsidP="003D5A8E">
      <w:pPr>
        <w:pStyle w:val="Default"/>
        <w:spacing w:line="360" w:lineRule="auto"/>
        <w:ind w:left="284"/>
        <w:jc w:val="both"/>
        <w:rPr>
          <w:rFonts w:asciiTheme="majorHAnsi" w:hAnsiTheme="majorHAnsi"/>
          <w:color w:val="auto"/>
          <w:sz w:val="22"/>
          <w:szCs w:val="22"/>
          <w:lang w:val="el-GR"/>
        </w:rPr>
      </w:pPr>
      <w:r w:rsidRPr="003D5A8E">
        <w:rPr>
          <w:rFonts w:asciiTheme="majorHAnsi" w:hAnsiTheme="majorHAnsi"/>
          <w:color w:val="auto"/>
          <w:sz w:val="22"/>
          <w:szCs w:val="22"/>
          <w:lang w:val="el-GR"/>
        </w:rPr>
        <w:t>Στην κατηγορία αυτή επιλέξιμες δαπάνες για παροχή συμβουλευτικών υπηρεσιών, δαπάνες υπηρεσιών προμήθειας/χρήσης Λογισμικού-Εξοπλισμού, δαπάνες υπηρεσιών, πιστοποίησης, σχεδιασμού, κατοχύρωση ή μεταφορά τεχνογνωσίας κλπ.</w:t>
      </w:r>
      <w:r>
        <w:rPr>
          <w:rFonts w:asciiTheme="majorHAnsi" w:hAnsiTheme="majorHAnsi"/>
          <w:color w:val="auto"/>
          <w:sz w:val="22"/>
          <w:szCs w:val="22"/>
          <w:lang w:val="el-GR"/>
        </w:rPr>
        <w:t xml:space="preserve"> </w:t>
      </w:r>
      <w:r w:rsidRPr="003D5A8E">
        <w:rPr>
          <w:rFonts w:asciiTheme="majorHAnsi" w:hAnsiTheme="majorHAnsi"/>
          <w:color w:val="auto"/>
          <w:sz w:val="22"/>
          <w:szCs w:val="22"/>
          <w:lang w:val="el-GR"/>
        </w:rPr>
        <w:t>Προκειμένου να είναι επιλέξιμες οι δαπάνες που περιλαμβάνονται συνολικά στην κατηγορία θα πρέπει να τηρούνται οι ακόλουθοι όροι:</w:t>
      </w:r>
    </w:p>
    <w:p w14:paraId="61FE79AB" w14:textId="6D0800C4"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Να αφορούν την δραστηριότητα της επένδυσης και να υλοποιούνται στο χρονικό διάστημα επιλεξιμότητας δαπανών.</w:t>
      </w:r>
    </w:p>
    <w:p w14:paraId="4A0C2DF2" w14:textId="13D2A95C"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Να είναι καταχωρημένες στο μητρώο παγίων, στο μέτρο που χαρακτηρίζονται ως άυλα πάγια και προβλέπεται η εγγραφή τους. Ειδικότερα οι δαπάνες των υποκατηγοριών 04.17, 04.18, 04.25 πρέπει να καταχωρούνται στο μητρώο παγίων.</w:t>
      </w:r>
    </w:p>
    <w:p w14:paraId="7B650CC8" w14:textId="5EF96B32"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Για κάθε συμβουλευτική υπηρεσία, πρέπει να υπάρχει σχετική σύμβαση με την επιχείρηση κατατεθειμένη στη Δ.Ο.Υ.</w:t>
      </w:r>
    </w:p>
    <w:p w14:paraId="6EA842B9"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Οι πιθανές δαπάνες διαμονής, μετακίνησης και λοιπές δαπάνες ταξιδιών των συμβούλων περιλαμβάνονται στη συνολική αμοιβή τους και δεν είναι επιλέξιμες ως διακριτές δαπάνες.</w:t>
      </w:r>
    </w:p>
    <w:p w14:paraId="47FEC762" w14:textId="135757D1" w:rsidR="003D5A8E" w:rsidRPr="00277270" w:rsidRDefault="003D5A8E" w:rsidP="003D5A8E">
      <w:pPr>
        <w:pStyle w:val="Default"/>
        <w:spacing w:line="360" w:lineRule="auto"/>
        <w:ind w:left="284"/>
        <w:jc w:val="both"/>
        <w:rPr>
          <w:rFonts w:asciiTheme="majorHAnsi" w:hAnsiTheme="majorHAnsi"/>
          <w:color w:val="auto"/>
          <w:sz w:val="22"/>
          <w:szCs w:val="22"/>
          <w:lang w:val="el-GR"/>
        </w:rPr>
      </w:pPr>
      <w:r w:rsidRPr="003D5A8E">
        <w:rPr>
          <w:rFonts w:asciiTheme="majorHAnsi" w:hAnsiTheme="majorHAnsi"/>
          <w:color w:val="auto"/>
          <w:sz w:val="22"/>
          <w:szCs w:val="22"/>
          <w:lang w:val="el-GR"/>
        </w:rPr>
        <w:t>Αναλυτικότερα ανά υποκατηγορία:</w:t>
      </w:r>
    </w:p>
    <w:p w14:paraId="20F720EB" w14:textId="7707D1D7" w:rsidR="003D5A8E" w:rsidRPr="000405D9" w:rsidRDefault="003D5A8E" w:rsidP="003D5A8E">
      <w:pPr>
        <w:pStyle w:val="Default"/>
        <w:numPr>
          <w:ilvl w:val="0"/>
          <w:numId w:val="2"/>
        </w:numPr>
        <w:spacing w:line="360" w:lineRule="auto"/>
        <w:ind w:left="567" w:hanging="283"/>
        <w:jc w:val="both"/>
        <w:rPr>
          <w:rFonts w:asciiTheme="majorHAnsi" w:hAnsiTheme="majorHAnsi"/>
          <w:b/>
          <w:bCs/>
          <w:color w:val="auto"/>
          <w:sz w:val="22"/>
          <w:szCs w:val="22"/>
          <w:lang w:val="el-GR"/>
        </w:rPr>
      </w:pPr>
      <w:r w:rsidRPr="003D5A8E">
        <w:rPr>
          <w:rFonts w:asciiTheme="majorHAnsi" w:hAnsiTheme="majorHAnsi"/>
          <w:b/>
          <w:bCs/>
          <w:color w:val="auto"/>
          <w:sz w:val="22"/>
          <w:szCs w:val="22"/>
          <w:lang w:val="el-GR"/>
        </w:rPr>
        <w:t>Δαπάνες για συμβουλευτικές και ισοδύναμες υποστηρικτικές υπηρεσίες χρησιμοποιούμενες για την πράξη.</w:t>
      </w:r>
    </w:p>
    <w:p w14:paraId="43B69A6F" w14:textId="39954095" w:rsidR="003D5A8E" w:rsidRPr="00654C6A" w:rsidRDefault="003D5A8E" w:rsidP="003D5A8E">
      <w:pPr>
        <w:pStyle w:val="Default"/>
        <w:spacing w:line="360" w:lineRule="auto"/>
        <w:ind w:left="567"/>
        <w:jc w:val="both"/>
        <w:rPr>
          <w:rFonts w:asciiTheme="majorHAnsi" w:hAnsiTheme="majorHAnsi"/>
          <w:color w:val="auto"/>
          <w:sz w:val="22"/>
          <w:szCs w:val="22"/>
          <w:lang w:val="el-GR"/>
        </w:rPr>
      </w:pPr>
      <w:r w:rsidRPr="003D5A8E">
        <w:rPr>
          <w:rFonts w:asciiTheme="majorHAnsi" w:hAnsiTheme="majorHAnsi"/>
          <w:color w:val="auto"/>
          <w:sz w:val="22"/>
          <w:szCs w:val="22"/>
          <w:lang w:val="el-GR"/>
        </w:rPr>
        <w:t>Στην υποκατηγορία αυτή είναι επιλέξιμη η δαπάνη για υπηρεσίες εξωτερικών συμβούλων (π.χ. παροχή υπηρεσιών απαραίτητων για την ανάπτυξη του σχεδίου, εκπόνηση μελετών, εμπειρογνωμοσύνη, λογιστικές, νομικές υπηρεσίες, δαπάνες για τη σύσταση της επιχείρησης) με σύμβαση παροχής υπηρεσιών, οι οποίες χρησιμοποιούνται αποκλειστικά για το έργο. Στη συγκεκριμένη κατηγορία εμπίπτουν και οι δαπάνες εκπόνησης μελέτης σκοπιμότητας και οι δαπάνες για εγκρίσεις / αδειοδοτήσεις / βεβαιώσεις για διαμόρφωση εσωτερικού χώρου μικρής κλίμακας &amp; διευκόλυνση προσβασιμότητας των ΑμεΑ.</w:t>
      </w:r>
    </w:p>
    <w:p w14:paraId="51DE8A1E" w14:textId="77777777" w:rsidR="003D5A8E" w:rsidRPr="00924636" w:rsidRDefault="003D5A8E" w:rsidP="003D5A8E">
      <w:pPr>
        <w:pStyle w:val="Default"/>
        <w:spacing w:line="360" w:lineRule="auto"/>
        <w:ind w:left="1134"/>
        <w:jc w:val="both"/>
        <w:rPr>
          <w:rFonts w:asciiTheme="majorHAnsi" w:hAnsiTheme="majorHAnsi"/>
          <w:color w:val="auto"/>
          <w:sz w:val="22"/>
          <w:szCs w:val="22"/>
          <w:lang w:val="el-GR"/>
        </w:rPr>
      </w:pPr>
    </w:p>
    <w:p w14:paraId="616581B4" w14:textId="191A107E" w:rsidR="003D5A8E" w:rsidRPr="003D5A8E" w:rsidRDefault="003D5A8E" w:rsidP="003D5A8E">
      <w:pPr>
        <w:pStyle w:val="Default"/>
        <w:numPr>
          <w:ilvl w:val="0"/>
          <w:numId w:val="2"/>
        </w:numPr>
        <w:spacing w:line="360" w:lineRule="auto"/>
        <w:ind w:left="567" w:hanging="283"/>
        <w:jc w:val="both"/>
        <w:rPr>
          <w:rFonts w:asciiTheme="majorHAnsi" w:hAnsiTheme="majorHAnsi"/>
          <w:b/>
          <w:bCs/>
          <w:color w:val="auto"/>
          <w:sz w:val="22"/>
          <w:szCs w:val="22"/>
          <w:lang w:val="el-GR"/>
        </w:rPr>
      </w:pPr>
      <w:r w:rsidRPr="003D5A8E">
        <w:rPr>
          <w:rFonts w:asciiTheme="majorHAnsi" w:hAnsiTheme="majorHAnsi"/>
          <w:b/>
          <w:bCs/>
          <w:color w:val="auto"/>
          <w:sz w:val="22"/>
          <w:szCs w:val="22"/>
          <w:lang w:val="el-GR"/>
        </w:rPr>
        <w:t>Δαπάνες Συμβουλευτική υποστήριξη για την παρακολούθηση της υλοποίησης του επενδυτικού σχεδίου - Έως 4.000€.</w:t>
      </w:r>
    </w:p>
    <w:p w14:paraId="0E2DCA4F" w14:textId="15E78840" w:rsidR="003D5A8E" w:rsidRDefault="003D5A8E" w:rsidP="003D5A8E">
      <w:pPr>
        <w:pStyle w:val="Default"/>
        <w:spacing w:line="360" w:lineRule="auto"/>
        <w:ind w:left="567"/>
        <w:jc w:val="both"/>
        <w:rPr>
          <w:rFonts w:asciiTheme="majorHAnsi" w:hAnsiTheme="majorHAnsi"/>
          <w:color w:val="auto"/>
          <w:sz w:val="22"/>
          <w:szCs w:val="22"/>
          <w:lang w:val="el-GR"/>
        </w:rPr>
      </w:pPr>
      <w:r>
        <w:rPr>
          <w:rFonts w:asciiTheme="majorHAnsi" w:hAnsiTheme="majorHAnsi"/>
          <w:color w:val="auto"/>
          <w:sz w:val="22"/>
          <w:szCs w:val="22"/>
          <w:lang w:val="el-GR"/>
        </w:rPr>
        <w:t>Στην</w:t>
      </w:r>
      <w:r w:rsidRPr="00C16ED4">
        <w:rPr>
          <w:rFonts w:asciiTheme="majorHAnsi" w:hAnsiTheme="majorHAnsi"/>
          <w:color w:val="auto"/>
          <w:sz w:val="22"/>
          <w:szCs w:val="22"/>
          <w:lang w:val="el-GR"/>
        </w:rPr>
        <w:t xml:space="preserve"> </w:t>
      </w:r>
      <w:r w:rsidRPr="003D5A8E">
        <w:rPr>
          <w:rFonts w:asciiTheme="majorHAnsi" w:hAnsiTheme="majorHAnsi"/>
          <w:color w:val="auto"/>
          <w:sz w:val="22"/>
          <w:szCs w:val="22"/>
          <w:lang w:val="el-GR"/>
        </w:rPr>
        <w:t>υποκατηγορία αυτή είναι επιλέξιμες αποκλειστικά δαπάνες που αφορούν συμβουλευτικές υπηρεσίες για την υποβολή, παρακολούθηση και διαχείριση της υλοποίησης της πράξης αντίστοιχα, έως την αποπληρωμή του, υπό τους ακόλουθους όρους:</w:t>
      </w:r>
    </w:p>
    <w:p w14:paraId="54E7C430"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Το χρονικό διάστημα παροχής της υπηρεσίας παρακολούθησης και διαχείρισης υπολογίζεται από την υποβολή της αίτησης χρηματοδότησης και μέχρι την ολοκλήρωση του φυσικού και οικονομικού αντικειμένου της επένδυσης.</w:t>
      </w:r>
    </w:p>
    <w:p w14:paraId="450DB047" w14:textId="248DCC31" w:rsid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lastRenderedPageBreak/>
        <w:t>Δεν είναι δυνατή η πιστοποίησή τους εξ’ ολοκλήρου σε αίτημα ενδιάμεσης επαλήθευσης. Η εν λόγω δαπάνη δύναται να πιστοποιείται τμηματικά σύμφωνα με το ποσοστό υλοποίησης του αιτήματος ή στο Τελικό Αίτημα Επαλήθευσης.</w:t>
      </w:r>
    </w:p>
    <w:p w14:paraId="03543090" w14:textId="77777777" w:rsidR="003D5A8E" w:rsidRPr="003C1CFB" w:rsidRDefault="003D5A8E" w:rsidP="003D5A8E">
      <w:pPr>
        <w:pStyle w:val="Default"/>
        <w:spacing w:line="360" w:lineRule="auto"/>
        <w:ind w:left="567"/>
        <w:rPr>
          <w:rFonts w:asciiTheme="majorHAnsi" w:hAnsiTheme="majorHAnsi"/>
          <w:color w:val="auto"/>
          <w:sz w:val="22"/>
          <w:szCs w:val="22"/>
          <w:lang w:val="el-GR"/>
        </w:rPr>
      </w:pPr>
    </w:p>
    <w:p w14:paraId="3C1B92C3" w14:textId="77777777" w:rsidR="003D5A8E" w:rsidRPr="003D5A8E" w:rsidRDefault="003D5A8E" w:rsidP="003D5A8E">
      <w:pPr>
        <w:pStyle w:val="Default"/>
        <w:numPr>
          <w:ilvl w:val="0"/>
          <w:numId w:val="2"/>
        </w:numPr>
        <w:spacing w:line="360" w:lineRule="auto"/>
        <w:ind w:left="567" w:hanging="283"/>
        <w:jc w:val="both"/>
        <w:rPr>
          <w:rFonts w:asciiTheme="majorHAnsi" w:hAnsiTheme="majorHAnsi"/>
          <w:b/>
          <w:bCs/>
          <w:color w:val="auto"/>
          <w:sz w:val="22"/>
          <w:szCs w:val="22"/>
          <w:lang w:val="el-GR"/>
        </w:rPr>
      </w:pPr>
      <w:r w:rsidRPr="003D5A8E">
        <w:rPr>
          <w:rFonts w:asciiTheme="majorHAnsi" w:hAnsiTheme="majorHAnsi"/>
          <w:b/>
          <w:bCs/>
          <w:color w:val="auto"/>
          <w:sz w:val="22"/>
          <w:szCs w:val="22"/>
          <w:lang w:val="el-GR"/>
        </w:rPr>
        <w:t>Δαπάνες Υπηρεσίες προμήθειας / χρήσης Λογισμικού υπό καθεστώς «Software as a Service», «cloud computing» ή άλλο παρεμφερές αυτού – Έως 50% του Επιλέξιμου Π/Υ.</w:t>
      </w:r>
    </w:p>
    <w:p w14:paraId="3C3081E2" w14:textId="7FC5C5DE" w:rsidR="003D5A8E" w:rsidRPr="003D5A8E" w:rsidRDefault="003D5A8E" w:rsidP="003D5A8E">
      <w:pPr>
        <w:pStyle w:val="Default"/>
        <w:spacing w:line="360" w:lineRule="auto"/>
        <w:ind w:left="567"/>
        <w:rPr>
          <w:rFonts w:asciiTheme="majorHAnsi" w:hAnsiTheme="majorHAnsi"/>
          <w:color w:val="auto"/>
          <w:sz w:val="22"/>
          <w:szCs w:val="22"/>
          <w:lang w:val="el-GR"/>
        </w:rPr>
      </w:pPr>
      <w:r w:rsidRPr="003D5A8E">
        <w:rPr>
          <w:rFonts w:asciiTheme="majorHAnsi" w:hAnsiTheme="majorHAnsi"/>
          <w:color w:val="auto"/>
          <w:sz w:val="22"/>
          <w:szCs w:val="22"/>
          <w:lang w:val="el-GR"/>
        </w:rPr>
        <w:t>Στην υποκατηγορία αυτή είναι επιλέξιμες δαπάνες που αφορούν:</w:t>
      </w:r>
    </w:p>
    <w:p w14:paraId="58B192AF" w14:textId="7F4C915C"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Υπηρεσίες προμήθειας/χρήσης λογισμικού υπό καθεστώς υπηρεσίας (π.χ. Software as a Service (SaaS), Cloud as a Service (CaaS)).</w:t>
      </w:r>
    </w:p>
    <w:p w14:paraId="105563C3" w14:textId="397605B5" w:rsid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Υπηρεσίες προμήθειας/χρήσης εξοπλισμού υπό καθεστώς υπηρεσίας (π.χ. Hardware as a Service (HaaS), Equipment as a Service (EaaS)).</w:t>
      </w:r>
    </w:p>
    <w:p w14:paraId="31280CD5" w14:textId="6BF55E3B" w:rsidR="003D5A8E" w:rsidRPr="003D5A8E" w:rsidRDefault="003D5A8E" w:rsidP="003D5A8E">
      <w:pPr>
        <w:pStyle w:val="Default"/>
        <w:spacing w:line="360" w:lineRule="auto"/>
        <w:ind w:left="567"/>
        <w:rPr>
          <w:rFonts w:asciiTheme="majorHAnsi" w:hAnsiTheme="majorHAnsi"/>
          <w:b/>
          <w:bCs/>
          <w:color w:val="auto"/>
          <w:sz w:val="22"/>
          <w:szCs w:val="22"/>
          <w:lang w:val="el-GR"/>
        </w:rPr>
      </w:pPr>
      <w:r w:rsidRPr="003D5A8E">
        <w:rPr>
          <w:rFonts w:asciiTheme="majorHAnsi" w:hAnsiTheme="majorHAnsi"/>
          <w:b/>
          <w:bCs/>
          <w:color w:val="auto"/>
          <w:sz w:val="22"/>
          <w:szCs w:val="22"/>
          <w:lang w:val="el-GR"/>
        </w:rPr>
        <w:t>Υπό τους ακόλουθους όρους:</w:t>
      </w:r>
    </w:p>
    <w:p w14:paraId="38D3A1D5"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Επιλέξιμο είναι μόνο το κόστος της υπηρεσίας που παρέχεται κατά το διάστημα επιλεξιμότητας δαπανών.</w:t>
      </w:r>
    </w:p>
    <w:p w14:paraId="19E5384C"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Το προμηθευόμενο λογισμικό είναι καινούριο και η επιχείρηση είναι νόμιμος κάτοχος της άδειας χρήσης αυτού.</w:t>
      </w:r>
    </w:p>
    <w:p w14:paraId="5CC239B7"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Το προμηθευόμενο λογισμικό, συμπεριλαμβανομένης και της αντίστοιχης αρχικής παραμετροποίησης του, μπορεί να χαρακτηριστεί ως άυλο στοιχείο ενεργητικού - σύμφωνα με τα προβλεπόμενα στα Ελληνικά Λογιστικά Πρότυπα και να επιδέχεται αποσβέσεων.</w:t>
      </w:r>
    </w:p>
    <w:p w14:paraId="359DA8D6"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Δεν είναι επιλέξιμη δαπάνη, οι υπηρεσίες ανάπτυξης λογισμικού που γίνεται με ίδια μέσα του Δικαιούχου (ιδιοπαραγωγή λογισμικού).</w:t>
      </w:r>
    </w:p>
    <w:p w14:paraId="18593902" w14:textId="75C2C22A"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Σε περίπτωση αγοράς ή και ανάπτυξης λογισμικού εφαρμογών που απευθύνεται σε πελατειακό κοινό, θα πρέπει να λαμβάνεται μέριμνα να εξυπηρετεί τις ανάγκες ατόμων με αναπηρία σύμφωνα με το διεθνές πρότυπο Web Content Accessibility Guidelines (WCAG), έκδοση 2.1 σε επίπεδο ΑΑ (οι δαπάνες μετατροπής είναι επιλέξιμες).</w:t>
      </w:r>
    </w:p>
    <w:p w14:paraId="5CB4C154" w14:textId="77777777" w:rsidR="003D5A8E" w:rsidRDefault="003D5A8E" w:rsidP="003D5A8E">
      <w:pPr>
        <w:pStyle w:val="Default"/>
        <w:spacing w:line="360" w:lineRule="auto"/>
        <w:jc w:val="both"/>
        <w:rPr>
          <w:rFonts w:asciiTheme="majorHAnsi" w:hAnsiTheme="majorHAnsi"/>
          <w:color w:val="auto"/>
          <w:sz w:val="22"/>
          <w:szCs w:val="22"/>
          <w:lang w:val="el-GR"/>
        </w:rPr>
      </w:pPr>
    </w:p>
    <w:p w14:paraId="2D92C94D" w14:textId="77777777" w:rsidR="007A4B95" w:rsidRDefault="007A4B95" w:rsidP="003D5A8E">
      <w:pPr>
        <w:pStyle w:val="Default"/>
        <w:spacing w:line="360" w:lineRule="auto"/>
        <w:jc w:val="both"/>
        <w:rPr>
          <w:rFonts w:asciiTheme="majorHAnsi" w:hAnsiTheme="majorHAnsi"/>
          <w:color w:val="auto"/>
          <w:sz w:val="22"/>
          <w:szCs w:val="22"/>
          <w:lang w:val="el-GR"/>
        </w:rPr>
      </w:pPr>
    </w:p>
    <w:p w14:paraId="2D5F1C41" w14:textId="77777777" w:rsidR="007A4B95" w:rsidRDefault="007A4B95" w:rsidP="003D5A8E">
      <w:pPr>
        <w:pStyle w:val="Default"/>
        <w:spacing w:line="360" w:lineRule="auto"/>
        <w:jc w:val="both"/>
        <w:rPr>
          <w:rFonts w:asciiTheme="majorHAnsi" w:hAnsiTheme="majorHAnsi"/>
          <w:color w:val="auto"/>
          <w:sz w:val="22"/>
          <w:szCs w:val="22"/>
          <w:lang w:val="el-GR"/>
        </w:rPr>
      </w:pPr>
    </w:p>
    <w:p w14:paraId="7951AFE2" w14:textId="51AFB43E" w:rsidR="003D5A8E" w:rsidRPr="003D5A8E" w:rsidRDefault="003D5A8E" w:rsidP="003D5A8E">
      <w:pPr>
        <w:pStyle w:val="Default"/>
        <w:numPr>
          <w:ilvl w:val="0"/>
          <w:numId w:val="2"/>
        </w:numPr>
        <w:spacing w:line="360" w:lineRule="auto"/>
        <w:ind w:left="567" w:hanging="283"/>
        <w:jc w:val="both"/>
        <w:rPr>
          <w:rFonts w:asciiTheme="majorHAnsi" w:hAnsiTheme="majorHAnsi"/>
          <w:b/>
          <w:bCs/>
          <w:color w:val="auto"/>
          <w:sz w:val="22"/>
          <w:szCs w:val="22"/>
          <w:lang w:val="el-GR"/>
        </w:rPr>
      </w:pPr>
      <w:r w:rsidRPr="003D5A8E">
        <w:rPr>
          <w:rFonts w:asciiTheme="majorHAnsi" w:hAnsiTheme="majorHAnsi"/>
          <w:b/>
          <w:bCs/>
          <w:color w:val="auto"/>
          <w:sz w:val="22"/>
          <w:szCs w:val="22"/>
          <w:lang w:val="el-GR"/>
        </w:rPr>
        <w:t>Πιστοποίηση υπηρεσιών &amp; διαδικασιών σύμφωνα με εθνικά, εναρμονισμένα καθώς και λοιπά ευρωπαϊκά και διεθνή πρότυπα – Έως 3.000€.</w:t>
      </w:r>
    </w:p>
    <w:p w14:paraId="76E79C24" w14:textId="18502647" w:rsidR="003D5A8E" w:rsidRPr="003D5A8E" w:rsidRDefault="003D5A8E" w:rsidP="003D5A8E">
      <w:pPr>
        <w:pStyle w:val="Default"/>
        <w:spacing w:line="360" w:lineRule="auto"/>
        <w:ind w:left="567"/>
        <w:rPr>
          <w:rFonts w:asciiTheme="majorHAnsi" w:hAnsiTheme="majorHAnsi"/>
          <w:b/>
          <w:bCs/>
          <w:color w:val="auto"/>
          <w:sz w:val="22"/>
          <w:szCs w:val="22"/>
          <w:lang w:val="el-GR"/>
        </w:rPr>
      </w:pPr>
      <w:r w:rsidRPr="003D5A8E">
        <w:rPr>
          <w:rFonts w:asciiTheme="majorHAnsi" w:hAnsiTheme="majorHAnsi"/>
          <w:color w:val="auto"/>
          <w:sz w:val="22"/>
          <w:szCs w:val="22"/>
          <w:lang w:val="el-GR"/>
        </w:rPr>
        <w:t xml:space="preserve">Στην κατηγορία αυτή επιλέξιμες δαπάνες είναι ενδεικτικά: </w:t>
      </w:r>
    </w:p>
    <w:p w14:paraId="48ED1A50" w14:textId="77777777"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Επιθεώρηση και πιστοποίηση συστημάτων διαχείρισης σύμφωνα με εθνικά, εναρμονισμένα καθώς και λοιπά ευρωπαϊκά και διεθνή πρότυπα από διαπιστευμένους φορείς εσωτερικού ή εξωτερικού</w:t>
      </w:r>
    </w:p>
    <w:p w14:paraId="7CBC98B7" w14:textId="0AE0E273"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Πιστοποίηση και συμμόρφωση προϊόντων/υπηρεσιών σύμφωνα με εθνικά, εναρμονισμένα καθώς και προαιρετικά πρότυπα ευρωπαϊκών χωρών ή /και χωρών εκτός Ε.Ε. από διαπιστευμένους φορείς εσωτερικού ή εξωτερικού</w:t>
      </w:r>
    </w:p>
    <w:p w14:paraId="0A0D6339" w14:textId="0AC1A06C"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Κατοχύρωση σήματος CE, εξειδικευμένα ευρωπαϊκά ή / και διεθνή σήματα (π.χ. ecolabel)</w:t>
      </w:r>
    </w:p>
    <w:p w14:paraId="3D3736A2" w14:textId="71B8C99B" w:rsidR="003D5A8E" w:rsidRPr="003D5A8E"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Συμβουλευτικές υπηρεσίες μελετών για την προετοιμασία της επιχείρησης,</w:t>
      </w:r>
    </w:p>
    <w:p w14:paraId="01B59D0D" w14:textId="0152A51A" w:rsidR="003D5A8E" w:rsidRPr="005057BA" w:rsidRDefault="003D5A8E" w:rsidP="003D5A8E">
      <w:pPr>
        <w:pStyle w:val="Default"/>
        <w:numPr>
          <w:ilvl w:val="0"/>
          <w:numId w:val="26"/>
        </w:numPr>
        <w:spacing w:line="360" w:lineRule="auto"/>
        <w:jc w:val="both"/>
        <w:rPr>
          <w:rFonts w:asciiTheme="majorHAnsi" w:hAnsiTheme="majorHAnsi"/>
          <w:color w:val="auto"/>
          <w:sz w:val="22"/>
          <w:szCs w:val="22"/>
          <w:lang w:val="el-GR"/>
        </w:rPr>
      </w:pPr>
      <w:r w:rsidRPr="003D5A8E">
        <w:rPr>
          <w:rFonts w:asciiTheme="majorHAnsi" w:hAnsiTheme="majorHAnsi"/>
          <w:color w:val="auto"/>
          <w:sz w:val="22"/>
          <w:szCs w:val="22"/>
          <w:lang w:val="el-GR"/>
        </w:rPr>
        <w:t>Δοκιμές και έλεγχοι ποιότητας προϊόντων.</w:t>
      </w:r>
    </w:p>
    <w:p w14:paraId="7DACA6C8" w14:textId="33123262" w:rsidR="003D5A8E" w:rsidRPr="00ED4F2C" w:rsidRDefault="00DE1325" w:rsidP="00DE1325">
      <w:pPr>
        <w:pStyle w:val="Default"/>
        <w:spacing w:line="360" w:lineRule="auto"/>
        <w:ind w:left="567"/>
        <w:jc w:val="both"/>
        <w:rPr>
          <w:rFonts w:asciiTheme="majorHAnsi" w:hAnsiTheme="majorHAnsi"/>
          <w:b/>
          <w:bCs/>
          <w:color w:val="auto"/>
          <w:sz w:val="22"/>
          <w:szCs w:val="22"/>
          <w:lang w:val="el-GR"/>
        </w:rPr>
      </w:pPr>
      <w:r w:rsidRPr="00DE1325">
        <w:rPr>
          <w:rFonts w:asciiTheme="majorHAnsi" w:hAnsiTheme="majorHAnsi"/>
          <w:color w:val="auto"/>
          <w:sz w:val="22"/>
          <w:szCs w:val="22"/>
          <w:lang w:val="el-GR"/>
        </w:rPr>
        <w:lastRenderedPageBreak/>
        <w:t>Οι συμβουλευτικές υπηρεσίες μελετών, καθώς και οι προπαρασκευαστικές ενέργειες (δοκιμές, επιθεωρήσεις, αιτήσεις κλπ), είναι επιλέξιμες αποκλειστικά και μόνο στην περίπτωση που καταλήγουν σε λήψη της ζητούμενης πιστοποίησης/σήματος/διαπίστευσης. Το σχετικό πιστοποιητικό θα πρέπει να έχει εκδοθεί έως την ημερομηνία της ολοκλήρωσης της πράξης ή να τεκμηριώνεται αποδεδειγμένα ότι πληρούνται οι προϋποθέσεις για την έκδοσή του, ήτοι να έχει ολοκληρωθεί θετικά η επιθεώρηση πιστοποίησης. Οι συμβουλευτικές υπηρεσίες και προπαρασκευαστικές ενέργειες είναι επιλέξιμες μόνο με παραδοτέο μελέτη που αφορά στις εν λόγω πιστοποιήσεις.</w:t>
      </w:r>
    </w:p>
    <w:p w14:paraId="244CC1C4" w14:textId="77777777" w:rsidR="003D5A8E" w:rsidRDefault="003D5A8E" w:rsidP="003D5A8E">
      <w:pPr>
        <w:pStyle w:val="ListParagraph"/>
        <w:suppressAutoHyphens/>
        <w:autoSpaceDN w:val="0"/>
        <w:spacing w:line="254" w:lineRule="auto"/>
        <w:ind w:left="284"/>
        <w:jc w:val="both"/>
        <w:rPr>
          <w:rFonts w:asciiTheme="majorHAnsi" w:eastAsia="Calibri" w:hAnsiTheme="majorHAnsi" w:cs="Times New Roman"/>
          <w:b/>
          <w:bCs/>
          <w:color w:val="35ABB2"/>
          <w:kern w:val="0"/>
          <w:sz w:val="22"/>
          <w:szCs w:val="22"/>
          <w:lang w:val="el-GR" w:bidi="ar-SA"/>
          <w14:ligatures w14:val="none"/>
        </w:rPr>
      </w:pPr>
    </w:p>
    <w:p w14:paraId="3F6B4A74" w14:textId="2C8FF8E8" w:rsidR="005C60B6" w:rsidRPr="00B755C0" w:rsidRDefault="005C60B6" w:rsidP="005C60B6">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5C60B6">
        <w:rPr>
          <w:rFonts w:asciiTheme="majorHAnsi" w:eastAsia="Calibri" w:hAnsiTheme="majorHAnsi" w:cs="Times New Roman"/>
          <w:b/>
          <w:bCs/>
          <w:color w:val="35ABB2"/>
          <w:kern w:val="0"/>
          <w:sz w:val="26"/>
          <w:szCs w:val="26"/>
          <w:lang w:val="el-GR" w:bidi="ar-SA"/>
          <w14:ligatures w14:val="none"/>
        </w:rPr>
        <w:t>Λειτουργικές Δαπάνες</w:t>
      </w:r>
      <w:r w:rsidR="005C522D">
        <w:rPr>
          <w:rFonts w:asciiTheme="majorHAnsi" w:eastAsia="Calibri" w:hAnsiTheme="majorHAnsi" w:cs="Times New Roman"/>
          <w:b/>
          <w:bCs/>
          <w:color w:val="35ABB2"/>
          <w:kern w:val="0"/>
          <w:sz w:val="26"/>
          <w:szCs w:val="26"/>
          <w:lang w:val="el-GR" w:bidi="ar-SA"/>
          <w14:ligatures w14:val="none"/>
        </w:rPr>
        <w:t xml:space="preserve"> </w:t>
      </w:r>
      <w:r w:rsidR="005C522D" w:rsidRPr="005C522D">
        <w:rPr>
          <w:rFonts w:asciiTheme="majorHAnsi" w:eastAsia="Calibri" w:hAnsiTheme="majorHAnsi" w:cs="Times New Roman"/>
          <w:b/>
          <w:bCs/>
          <w:color w:val="35ABB2"/>
          <w:kern w:val="0"/>
          <w:sz w:val="26"/>
          <w:szCs w:val="26"/>
          <w:lang w:val="el-GR" w:bidi="ar-SA"/>
          <w14:ligatures w14:val="none"/>
        </w:rPr>
        <w:t>– Έως 6.000€</w:t>
      </w:r>
      <w:r w:rsidRPr="00DA1428">
        <w:rPr>
          <w:rFonts w:asciiTheme="majorHAnsi" w:eastAsia="Calibri" w:hAnsiTheme="majorHAnsi" w:cs="Times New Roman"/>
          <w:b/>
          <w:bCs/>
          <w:color w:val="35ABB2"/>
          <w:kern w:val="0"/>
          <w:sz w:val="26"/>
          <w:szCs w:val="26"/>
          <w:lang w:val="el-GR" w:bidi="ar-SA"/>
          <w14:ligatures w14:val="none"/>
        </w:rPr>
        <w:t>.</w:t>
      </w:r>
    </w:p>
    <w:p w14:paraId="50FBBA65" w14:textId="77777777" w:rsidR="005C60B6" w:rsidRPr="005C60B6" w:rsidRDefault="005C60B6" w:rsidP="005C60B6">
      <w:pPr>
        <w:pStyle w:val="Default"/>
        <w:numPr>
          <w:ilvl w:val="0"/>
          <w:numId w:val="2"/>
        </w:numPr>
        <w:spacing w:line="360" w:lineRule="auto"/>
        <w:ind w:left="567" w:hanging="283"/>
        <w:jc w:val="both"/>
        <w:rPr>
          <w:rFonts w:asciiTheme="majorHAnsi" w:hAnsiTheme="majorHAnsi"/>
          <w:b/>
          <w:bCs/>
          <w:color w:val="auto"/>
          <w:sz w:val="22"/>
          <w:szCs w:val="22"/>
          <w:lang w:val="el-GR"/>
        </w:rPr>
      </w:pPr>
      <w:r w:rsidRPr="005C60B6">
        <w:rPr>
          <w:rFonts w:asciiTheme="majorHAnsi" w:hAnsiTheme="majorHAnsi"/>
          <w:b/>
          <w:bCs/>
          <w:color w:val="auto"/>
          <w:sz w:val="22"/>
          <w:szCs w:val="22"/>
          <w:lang w:val="el-GR"/>
        </w:rPr>
        <w:t>Δαπάνες Ενοίκια επαγγελματικού χώρου – Έως 6.000€</w:t>
      </w:r>
    </w:p>
    <w:p w14:paraId="26E82C91" w14:textId="237AD4C4" w:rsidR="005C60B6" w:rsidRPr="005C60B6" w:rsidRDefault="005C60B6" w:rsidP="005C60B6">
      <w:pPr>
        <w:pStyle w:val="Default"/>
        <w:spacing w:line="360" w:lineRule="auto"/>
        <w:ind w:left="567"/>
        <w:jc w:val="both"/>
        <w:rPr>
          <w:rFonts w:asciiTheme="majorHAnsi" w:hAnsiTheme="majorHAnsi"/>
          <w:color w:val="auto"/>
          <w:sz w:val="22"/>
          <w:szCs w:val="22"/>
          <w:lang w:val="el-GR"/>
        </w:rPr>
      </w:pPr>
      <w:r w:rsidRPr="005C60B6">
        <w:rPr>
          <w:rFonts w:asciiTheme="majorHAnsi" w:hAnsiTheme="majorHAnsi"/>
          <w:color w:val="auto"/>
          <w:sz w:val="22"/>
          <w:szCs w:val="22"/>
          <w:lang w:val="el-GR"/>
        </w:rPr>
        <w:t>Δαπάνη μίσθωση κτιριακών υποδομών για τη δημιουργία</w:t>
      </w:r>
      <w:r>
        <w:rPr>
          <w:rFonts w:asciiTheme="majorHAnsi" w:hAnsiTheme="majorHAnsi"/>
          <w:color w:val="auto"/>
          <w:sz w:val="22"/>
          <w:szCs w:val="22"/>
          <w:lang w:val="el-GR"/>
        </w:rPr>
        <w:t xml:space="preserve"> </w:t>
      </w:r>
      <w:r w:rsidRPr="005C60B6">
        <w:rPr>
          <w:rFonts w:asciiTheme="majorHAnsi" w:hAnsiTheme="majorHAnsi"/>
          <w:color w:val="auto"/>
          <w:sz w:val="22"/>
          <w:szCs w:val="22"/>
          <w:lang w:val="el-GR"/>
        </w:rPr>
        <w:t>/</w:t>
      </w:r>
      <w:r>
        <w:rPr>
          <w:rFonts w:asciiTheme="majorHAnsi" w:hAnsiTheme="majorHAnsi"/>
          <w:color w:val="auto"/>
          <w:sz w:val="22"/>
          <w:szCs w:val="22"/>
          <w:lang w:val="el-GR"/>
        </w:rPr>
        <w:t xml:space="preserve"> </w:t>
      </w:r>
      <w:r w:rsidRPr="005C60B6">
        <w:rPr>
          <w:rFonts w:asciiTheme="majorHAnsi" w:hAnsiTheme="majorHAnsi"/>
          <w:color w:val="auto"/>
          <w:sz w:val="22"/>
          <w:szCs w:val="22"/>
          <w:lang w:val="el-GR"/>
        </w:rPr>
        <w:t>λειτουργία επιχειρηματικής εγκατάστασης για διάστημα έως 18 μήνες. Η μίσθωση του ακινήτου θα πρέπει να αφορά χρονικό διάστημα τουλάχιστον τριών (3) ετών. Η περίοδος της τριετίας υπολογίζεται από την ημερομηνία έγκρισης της αίτησης χρηματοδότησης. Η μίσθωση θα πρέπει να καταδεικνύεται πριν την καταβολή της δημόσιας χρηματοδότησης.</w:t>
      </w:r>
    </w:p>
    <w:p w14:paraId="34028893" w14:textId="3A412A63" w:rsidR="005C60B6" w:rsidRPr="005C60B6" w:rsidRDefault="005C60B6" w:rsidP="005C60B6">
      <w:pPr>
        <w:pStyle w:val="Default"/>
        <w:spacing w:line="360" w:lineRule="auto"/>
        <w:ind w:left="567"/>
        <w:jc w:val="both"/>
        <w:rPr>
          <w:rFonts w:asciiTheme="majorHAnsi" w:hAnsiTheme="majorHAnsi"/>
          <w:color w:val="auto"/>
          <w:sz w:val="22"/>
          <w:szCs w:val="22"/>
          <w:lang w:val="el-GR"/>
        </w:rPr>
      </w:pPr>
      <w:r w:rsidRPr="005C60B6">
        <w:rPr>
          <w:rFonts w:asciiTheme="majorHAnsi" w:hAnsiTheme="majorHAnsi"/>
          <w:color w:val="auto"/>
          <w:sz w:val="22"/>
          <w:szCs w:val="22"/>
          <w:lang w:val="el-GR"/>
        </w:rPr>
        <w:t>Περιλαμβάνει το κόστος ενοικίων του τόπου υλοποίησης της προτεινόμενης πράξης. Ο Δικαιούχος θα πρέπει να λειτουργεί σε αυτοτελή επαγγελματικό χώρο, ο οποίος αποτελεί χωριστή ιδιοκτησία και διαθέτει δικές του παροχές κοινής ωφέλειας (π.χ. ηλεκτρισμού) και δεν χρησιμοποιείται με οποιοδήποτε τρόπο ως κατοικία (κύρια ή δευτερεύουσα) ή σε οργανωμένους χώρους φιλοξενίας επιχειρήσεων, όπως επιχειρηματικά και τεχνολογικά πάρκα, συνεργατικούς χώρους (co-working spaces) κλπ. Εάν διαπιστωθεί η μη τήρηση των ανωτέρω, η πράξη απεντάσσεται.</w:t>
      </w:r>
    </w:p>
    <w:p w14:paraId="6299AF58" w14:textId="50283838" w:rsidR="003D5A8E" w:rsidRDefault="005C60B6" w:rsidP="007A4B95">
      <w:pPr>
        <w:pStyle w:val="Default"/>
        <w:spacing w:line="360" w:lineRule="auto"/>
        <w:ind w:left="567"/>
        <w:jc w:val="both"/>
        <w:rPr>
          <w:rFonts w:asciiTheme="majorHAnsi" w:hAnsiTheme="majorHAnsi"/>
          <w:color w:val="auto"/>
          <w:sz w:val="22"/>
          <w:szCs w:val="22"/>
          <w:lang w:val="el-GR"/>
        </w:rPr>
      </w:pPr>
      <w:r w:rsidRPr="005C60B6">
        <w:rPr>
          <w:rFonts w:asciiTheme="majorHAnsi" w:hAnsiTheme="majorHAnsi"/>
          <w:color w:val="auto"/>
          <w:sz w:val="22"/>
          <w:szCs w:val="22"/>
          <w:lang w:val="el-GR"/>
        </w:rPr>
        <w:t xml:space="preserve">Οι δαπάνες ενοικίου δεν είναι επιλέξιμες εφόσον ο μισθωτής είναι σύζυγος ή συγγενής έως και Β΄ βαθμού (εξ αίματος ή εξ αγχιστείας) με τον εκμισθωτή. Ο εν λόγω περιορισμός ισχύει για όλα τα μέλη του Δικαιούχου (μισθωτή). Επιπρόσθετα, στην περίπτωση που ο εκμισθωτής είναι νομικό πρόσωπο, ο εν λόγω περιορισμός καταλαμβάνει και όλους τους εταίρους/μετόχους (φυσικά πρόσωπα) του εκμισθωτή σε σχέση με τον Δικαιούχο/μισθωτή (ως μέλη του Δικαιούχου). </w:t>
      </w:r>
      <w:r w:rsidR="007A4B95">
        <w:rPr>
          <w:rFonts w:asciiTheme="majorHAnsi" w:hAnsiTheme="majorHAnsi"/>
          <w:color w:val="auto"/>
          <w:sz w:val="22"/>
          <w:szCs w:val="22"/>
          <w:lang w:val="el-GR"/>
        </w:rPr>
        <w:t xml:space="preserve"> </w:t>
      </w:r>
      <w:r w:rsidRPr="005C60B6">
        <w:rPr>
          <w:rFonts w:asciiTheme="majorHAnsi" w:hAnsiTheme="majorHAnsi"/>
          <w:color w:val="auto"/>
          <w:sz w:val="22"/>
          <w:szCs w:val="22"/>
          <w:lang w:val="el-GR"/>
        </w:rPr>
        <w:t>Τα ανωτέρω πιστοποιούνται με την προσκόμιση Υπεύθυνης Δήλωσης των μελών του Δικαιούχου.</w:t>
      </w:r>
    </w:p>
    <w:p w14:paraId="149E99FF" w14:textId="49AE84F0" w:rsidR="00003696" w:rsidRPr="00182DC5" w:rsidRDefault="0014766D" w:rsidP="00182DC5">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Pr>
          <w:rFonts w:asciiTheme="majorHAnsi" w:eastAsia="Calibri" w:hAnsiTheme="majorHAnsi" w:cs="Times New Roman"/>
          <w:b/>
          <w:bCs/>
          <w:color w:val="35ABB2"/>
          <w:kern w:val="0"/>
          <w:sz w:val="26"/>
          <w:szCs w:val="26"/>
          <w:lang w:val="el-GR" w:bidi="ar-SA"/>
          <w14:ligatures w14:val="none"/>
        </w:rPr>
        <w:t xml:space="preserve">Λογισμικού </w:t>
      </w:r>
      <w:r w:rsidRPr="00DA1428">
        <w:rPr>
          <w:rFonts w:asciiTheme="majorHAnsi" w:eastAsia="Calibri" w:hAnsiTheme="majorHAnsi" w:cs="Times New Roman"/>
          <w:b/>
          <w:bCs/>
          <w:color w:val="35ABB2"/>
          <w:kern w:val="0"/>
          <w:sz w:val="26"/>
          <w:szCs w:val="26"/>
          <w:lang w:val="el-GR" w:bidi="ar-SA"/>
          <w14:ligatures w14:val="none"/>
        </w:rPr>
        <w:t xml:space="preserve">- έως </w:t>
      </w:r>
      <w:r w:rsidR="005C522D">
        <w:rPr>
          <w:rFonts w:asciiTheme="majorHAnsi" w:eastAsia="Calibri" w:hAnsiTheme="majorHAnsi" w:cs="Times New Roman"/>
          <w:b/>
          <w:bCs/>
          <w:color w:val="35ABB2"/>
          <w:kern w:val="0"/>
          <w:sz w:val="26"/>
          <w:szCs w:val="26"/>
          <w:lang w:val="el-GR" w:bidi="ar-SA"/>
          <w14:ligatures w14:val="none"/>
        </w:rPr>
        <w:t>50</w:t>
      </w:r>
      <w:r w:rsidRPr="00DA1428">
        <w:rPr>
          <w:rFonts w:asciiTheme="majorHAnsi" w:eastAsia="Calibri" w:hAnsiTheme="majorHAnsi" w:cs="Times New Roman"/>
          <w:b/>
          <w:bCs/>
          <w:color w:val="35ABB2"/>
          <w:kern w:val="0"/>
          <w:sz w:val="26"/>
          <w:szCs w:val="26"/>
          <w:lang w:val="el-GR" w:bidi="ar-SA"/>
          <w14:ligatures w14:val="none"/>
        </w:rPr>
        <w:t>% του επιχορηγούμενου Π/Υ.</w:t>
      </w:r>
    </w:p>
    <w:p w14:paraId="10753B65" w14:textId="5065DDE8" w:rsidR="009D1B2B" w:rsidRPr="009D1B2B" w:rsidRDefault="009D1B2B" w:rsidP="009D1B2B">
      <w:pPr>
        <w:pStyle w:val="Default"/>
        <w:spacing w:line="360" w:lineRule="auto"/>
        <w:ind w:left="284"/>
        <w:jc w:val="both"/>
        <w:rPr>
          <w:rFonts w:asciiTheme="majorHAnsi" w:hAnsiTheme="majorHAnsi"/>
          <w:b/>
          <w:bCs/>
          <w:color w:val="auto"/>
          <w:sz w:val="22"/>
          <w:szCs w:val="22"/>
          <w:lang w:val="el-GR"/>
        </w:rPr>
      </w:pPr>
      <w:r w:rsidRPr="009D1B2B">
        <w:rPr>
          <w:rFonts w:asciiTheme="majorHAnsi" w:hAnsiTheme="majorHAnsi"/>
          <w:b/>
          <w:bCs/>
          <w:color w:val="auto"/>
          <w:sz w:val="22"/>
          <w:szCs w:val="22"/>
          <w:lang w:val="el-GR"/>
        </w:rPr>
        <w:t>Για την τεκμηρίωση του εύλογου του κόστους απαιτούνται: Δύο (2) προσφορές, από ανεξάρτητους μεταξύ τους παρόχους υπηρεσιών, για κάθε δαπάνη καθαρής αξίας άνω των 20.000 €..</w:t>
      </w:r>
    </w:p>
    <w:p w14:paraId="6A0D0492" w14:textId="77777777" w:rsidR="009D1B2B" w:rsidRDefault="009D1B2B" w:rsidP="009D1B2B">
      <w:pPr>
        <w:pStyle w:val="Default"/>
        <w:spacing w:line="360" w:lineRule="auto"/>
        <w:jc w:val="both"/>
        <w:rPr>
          <w:rFonts w:asciiTheme="majorHAnsi" w:hAnsiTheme="majorHAnsi"/>
          <w:b/>
          <w:bCs/>
          <w:color w:val="auto"/>
          <w:sz w:val="22"/>
          <w:szCs w:val="22"/>
          <w:lang w:val="el-GR"/>
        </w:rPr>
      </w:pPr>
    </w:p>
    <w:p w14:paraId="55912478" w14:textId="589F159D" w:rsidR="00182DC5" w:rsidRPr="00182DC5" w:rsidRDefault="00182DC5" w:rsidP="00182DC5">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82DC5">
        <w:rPr>
          <w:rFonts w:asciiTheme="majorHAnsi" w:hAnsiTheme="majorHAnsi"/>
          <w:b/>
          <w:bCs/>
          <w:color w:val="auto"/>
          <w:sz w:val="22"/>
          <w:szCs w:val="22"/>
          <w:lang w:val="el-GR"/>
        </w:rPr>
        <w:t>Προμήθεια Λογισμικό και δικαιώματα χρήσης (licenses) προγραμμάτων λογισμικού</w:t>
      </w:r>
    </w:p>
    <w:p w14:paraId="2C674655" w14:textId="493E303F" w:rsidR="00182DC5" w:rsidRDefault="00182DC5" w:rsidP="00182DC5">
      <w:pPr>
        <w:pStyle w:val="Default"/>
        <w:spacing w:line="360" w:lineRule="auto"/>
        <w:ind w:left="567"/>
        <w:jc w:val="both"/>
        <w:rPr>
          <w:rFonts w:asciiTheme="majorHAnsi" w:hAnsiTheme="majorHAnsi"/>
          <w:color w:val="auto"/>
          <w:sz w:val="22"/>
          <w:szCs w:val="22"/>
          <w:lang w:val="el-GR"/>
        </w:rPr>
      </w:pPr>
      <w:r w:rsidRPr="00182DC5">
        <w:rPr>
          <w:rFonts w:asciiTheme="majorHAnsi" w:hAnsiTheme="majorHAnsi"/>
          <w:color w:val="auto"/>
          <w:sz w:val="22"/>
          <w:szCs w:val="22"/>
          <w:lang w:val="el-GR"/>
        </w:rPr>
        <w:t>Στην υποκατηγορία αυτή επιλέξιμες είναι δαπάνες που αφορούν προμήθεια ή/και ανάπτυξη λογισμικών. Μπορεί ενδεικτικά να περιλαμβάνονται δαπάνες όπως:</w:t>
      </w:r>
    </w:p>
    <w:p w14:paraId="3C308B81" w14:textId="065E0B78"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Προμήθεια εξειδικευμένου λογισμικού για την βελτιστοποίηση της παραγωγής και των επιχειρηματικών διεργασιών</w:t>
      </w:r>
    </w:p>
    <w:p w14:paraId="08A8383E" w14:textId="305C3EAB"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Λογισμικά προσομοίωσης και τρισδιάστατης μοντελοποίησης</w:t>
      </w:r>
    </w:p>
    <w:p w14:paraId="79B4607B" w14:textId="43902B59"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Λογισμικά διαχείρισης και ανάλυσης δεδομένων</w:t>
      </w:r>
    </w:p>
    <w:p w14:paraId="79282F50" w14:textId="7365F630"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Προμήθεια εφαρμογών γραφείου και διαχείρισης εγγράφων</w:t>
      </w:r>
    </w:p>
    <w:p w14:paraId="03860336" w14:textId="550EF990"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Άδειες χρήσης λειτουργικών συστημάτων</w:t>
      </w:r>
    </w:p>
    <w:p w14:paraId="7A63168D" w14:textId="43E51FEB" w:rsidR="00182DC5" w:rsidRP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Προμήθεια συστημάτων αυτόματης σήμανσης, ιχνηλασιμότητας, κοστολόγησης και τιμολόγησης προϊόντων εκσυγχρονισμού της εφοδιαστικής αλυσίδας</w:t>
      </w:r>
    </w:p>
    <w:p w14:paraId="79494022" w14:textId="77777777" w:rsid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Άλλες ειδικές εφαρμογές με άμεση συνάφεια με τον / τους ΚΑΔ της επένδυσης.</w:t>
      </w:r>
      <w:r w:rsidRPr="00182DC5">
        <w:rPr>
          <w:rFonts w:asciiTheme="majorHAnsi" w:hAnsiTheme="majorHAnsi"/>
          <w:color w:val="auto"/>
          <w:sz w:val="22"/>
          <w:szCs w:val="22"/>
          <w:lang w:val="el-GR"/>
        </w:rPr>
        <w:t xml:space="preserve"> </w:t>
      </w:r>
    </w:p>
    <w:p w14:paraId="6F61B898" w14:textId="77777777" w:rsidR="00182DC5" w:rsidRDefault="00182DC5" w:rsidP="00182DC5">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Το κόστος</w:t>
      </w:r>
      <w:r>
        <w:rPr>
          <w:rFonts w:asciiTheme="majorHAnsi" w:hAnsiTheme="majorHAnsi"/>
          <w:color w:val="auto"/>
          <w:sz w:val="22"/>
          <w:szCs w:val="22"/>
          <w:lang w:val="el-GR"/>
        </w:rPr>
        <w:t>:</w:t>
      </w:r>
    </w:p>
    <w:p w14:paraId="0C9186F2" w14:textId="77777777" w:rsidR="00182DC5" w:rsidRDefault="00182DC5" w:rsidP="00182DC5">
      <w:pPr>
        <w:pStyle w:val="Default"/>
        <w:numPr>
          <w:ilvl w:val="0"/>
          <w:numId w:val="28"/>
        </w:numPr>
        <w:spacing w:line="360" w:lineRule="auto"/>
        <w:jc w:val="both"/>
        <w:rPr>
          <w:rFonts w:asciiTheme="majorHAnsi" w:hAnsiTheme="majorHAnsi"/>
          <w:color w:val="auto"/>
          <w:sz w:val="22"/>
          <w:szCs w:val="22"/>
          <w:lang w:val="el-GR"/>
        </w:rPr>
      </w:pPr>
      <w:r w:rsidRPr="00182DC5">
        <w:rPr>
          <w:rFonts w:asciiTheme="majorHAnsi" w:hAnsiTheme="majorHAnsi"/>
          <w:color w:val="auto"/>
          <w:sz w:val="22"/>
          <w:szCs w:val="22"/>
          <w:lang w:val="el-GR"/>
        </w:rPr>
        <w:t>εγκατάστασης και αρχικής παραμετροποίησης του λογισμικού</w:t>
      </w:r>
      <w:r>
        <w:rPr>
          <w:rFonts w:asciiTheme="majorHAnsi" w:hAnsiTheme="majorHAnsi"/>
          <w:color w:val="auto"/>
          <w:sz w:val="22"/>
          <w:szCs w:val="22"/>
          <w:lang w:val="el-GR"/>
        </w:rPr>
        <w:t>΄</w:t>
      </w:r>
    </w:p>
    <w:p w14:paraId="14042B5A" w14:textId="77777777" w:rsidR="00182DC5" w:rsidRDefault="00182DC5" w:rsidP="00182DC5">
      <w:pPr>
        <w:pStyle w:val="Default"/>
        <w:numPr>
          <w:ilvl w:val="0"/>
          <w:numId w:val="28"/>
        </w:numPr>
        <w:spacing w:line="360" w:lineRule="auto"/>
        <w:jc w:val="both"/>
        <w:rPr>
          <w:rFonts w:asciiTheme="majorHAnsi" w:hAnsiTheme="majorHAnsi"/>
          <w:color w:val="auto"/>
          <w:sz w:val="22"/>
          <w:szCs w:val="22"/>
          <w:lang w:val="el-GR"/>
        </w:rPr>
      </w:pPr>
      <w:r w:rsidRPr="00182DC5">
        <w:rPr>
          <w:rFonts w:asciiTheme="majorHAnsi" w:hAnsiTheme="majorHAnsi"/>
          <w:color w:val="auto"/>
          <w:sz w:val="22"/>
          <w:szCs w:val="22"/>
          <w:lang w:val="el-GR"/>
        </w:rPr>
        <w:t>παροχής υπηρεσιών υποστήριξης για μέχρι ένα (1) έτος από το χρόνο προμήθειας και</w:t>
      </w:r>
    </w:p>
    <w:p w14:paraId="77725003" w14:textId="77777777" w:rsidR="00182DC5" w:rsidRDefault="00182DC5" w:rsidP="00182DC5">
      <w:pPr>
        <w:pStyle w:val="Default"/>
        <w:numPr>
          <w:ilvl w:val="0"/>
          <w:numId w:val="28"/>
        </w:numPr>
        <w:spacing w:line="360" w:lineRule="auto"/>
        <w:jc w:val="both"/>
        <w:rPr>
          <w:rFonts w:asciiTheme="majorHAnsi" w:hAnsiTheme="majorHAnsi"/>
          <w:color w:val="auto"/>
          <w:sz w:val="22"/>
          <w:szCs w:val="22"/>
          <w:lang w:val="el-GR"/>
        </w:rPr>
      </w:pPr>
      <w:r w:rsidRPr="00182DC5">
        <w:rPr>
          <w:rFonts w:asciiTheme="majorHAnsi" w:hAnsiTheme="majorHAnsi"/>
          <w:color w:val="auto"/>
          <w:sz w:val="22"/>
          <w:szCs w:val="22"/>
          <w:lang w:val="el-GR"/>
        </w:rPr>
        <w:t>παροχής υπηρεσιών εκπαίδευσης στη χρήση του είναι επιλέξιμα μόνο όταν αφορούν</w:t>
      </w:r>
      <w:r>
        <w:rPr>
          <w:rFonts w:asciiTheme="majorHAnsi" w:hAnsiTheme="majorHAnsi"/>
          <w:color w:val="auto"/>
          <w:sz w:val="22"/>
          <w:szCs w:val="22"/>
          <w:lang w:val="el-GR"/>
        </w:rPr>
        <w:t xml:space="preserve"> </w:t>
      </w:r>
      <w:r w:rsidRPr="00182DC5">
        <w:rPr>
          <w:rFonts w:asciiTheme="majorHAnsi" w:hAnsiTheme="majorHAnsi"/>
          <w:color w:val="auto"/>
          <w:sz w:val="22"/>
          <w:szCs w:val="22"/>
          <w:lang w:val="el-GR"/>
        </w:rPr>
        <w:t>/</w:t>
      </w:r>
      <w:r>
        <w:rPr>
          <w:rFonts w:asciiTheme="majorHAnsi" w:hAnsiTheme="majorHAnsi"/>
          <w:color w:val="auto"/>
          <w:sz w:val="22"/>
          <w:szCs w:val="22"/>
          <w:lang w:val="el-GR"/>
        </w:rPr>
        <w:t xml:space="preserve"> </w:t>
      </w:r>
      <w:r w:rsidRPr="00182DC5">
        <w:rPr>
          <w:rFonts w:asciiTheme="majorHAnsi" w:hAnsiTheme="majorHAnsi"/>
          <w:color w:val="auto"/>
          <w:sz w:val="22"/>
          <w:szCs w:val="22"/>
          <w:lang w:val="el-GR"/>
        </w:rPr>
        <w:t>περιλαμβάνονται στο τιμολόγιο του προμηθευτή λογισμικού.</w:t>
      </w:r>
    </w:p>
    <w:p w14:paraId="7D7E8ED4" w14:textId="77777777" w:rsidR="00182DC5" w:rsidRDefault="00182DC5" w:rsidP="00182DC5">
      <w:pPr>
        <w:pStyle w:val="Default"/>
        <w:spacing w:line="360" w:lineRule="auto"/>
        <w:ind w:left="1134"/>
        <w:jc w:val="both"/>
        <w:rPr>
          <w:rFonts w:asciiTheme="majorHAnsi" w:hAnsiTheme="majorHAnsi"/>
          <w:color w:val="auto"/>
          <w:sz w:val="22"/>
          <w:szCs w:val="22"/>
          <w:lang w:val="el-GR"/>
        </w:rPr>
      </w:pPr>
      <w:r w:rsidRPr="00182DC5">
        <w:rPr>
          <w:rFonts w:asciiTheme="majorHAnsi" w:hAnsiTheme="majorHAnsi"/>
          <w:color w:val="auto"/>
          <w:sz w:val="22"/>
          <w:szCs w:val="22"/>
          <w:lang w:val="el-GR"/>
        </w:rPr>
        <w:t xml:space="preserve">Το προμηθευόμενο λογισμικό, συμπεριλαμβανομένης και της αντίστοιχης αρχικής παραμετροποίησης του, μπορεί να χαρακτηριστεί ως άυλο στοιχείο ενεργητικού - σύμφωνα με τα προβλεπόμενα στα Ελληνικά Λογιστικά Πρότυπα- και να επιδέχεται αποσβέσεων. </w:t>
      </w:r>
    </w:p>
    <w:p w14:paraId="0AA76FA0" w14:textId="77777777" w:rsidR="00182DC5" w:rsidRDefault="00182DC5" w:rsidP="00182DC5">
      <w:pPr>
        <w:pStyle w:val="Default"/>
        <w:spacing w:line="360" w:lineRule="auto"/>
        <w:jc w:val="both"/>
        <w:rPr>
          <w:rFonts w:asciiTheme="majorHAnsi" w:hAnsiTheme="majorHAnsi"/>
          <w:color w:val="auto"/>
          <w:sz w:val="22"/>
          <w:szCs w:val="22"/>
          <w:lang w:val="el-GR"/>
        </w:rPr>
      </w:pPr>
    </w:p>
    <w:p w14:paraId="23394F8D" w14:textId="7B3A67A7" w:rsidR="00182DC5" w:rsidRPr="00182DC5" w:rsidRDefault="00182DC5" w:rsidP="00182DC5">
      <w:pPr>
        <w:pStyle w:val="Default"/>
        <w:spacing w:line="360" w:lineRule="auto"/>
        <w:ind w:left="567"/>
        <w:jc w:val="both"/>
        <w:rPr>
          <w:rFonts w:asciiTheme="majorHAnsi" w:hAnsiTheme="majorHAnsi"/>
          <w:color w:val="auto"/>
          <w:sz w:val="22"/>
          <w:szCs w:val="22"/>
          <w:lang w:val="el-GR"/>
        </w:rPr>
      </w:pPr>
      <w:r w:rsidRPr="00182DC5">
        <w:rPr>
          <w:rFonts w:asciiTheme="majorHAnsi" w:hAnsiTheme="majorHAnsi"/>
          <w:color w:val="auto"/>
          <w:sz w:val="22"/>
          <w:szCs w:val="22"/>
          <w:lang w:val="el-GR"/>
        </w:rPr>
        <w:t>Επισημαίνεται ότι η επιλέξιμη δαπάνη θα αφορά αποκλειστικά το χρόνο υλοποίησης του επενδυτικού σχεδίου και δεν μπορεί να υπερβαίνει το 20% του κόστους απόκτησης του λογισμικού. Για συμβάσεις οι οποίες αφορούν παροχή υπηρεσιών για διάστημα μετά την λήξη της πράξης η επιλέξιμη δαπάνη θα αφορά αναλογικά το ποσοστό του κόστους που αντιστοιχεί στο διάστημα επιλεξιμότητας.</w:t>
      </w:r>
    </w:p>
    <w:p w14:paraId="64193140" w14:textId="77777777" w:rsidR="00182DC5" w:rsidRPr="00182DC5" w:rsidRDefault="00182DC5" w:rsidP="00182DC5">
      <w:pPr>
        <w:pStyle w:val="Default"/>
        <w:spacing w:line="360" w:lineRule="auto"/>
        <w:ind w:left="567"/>
        <w:jc w:val="both"/>
        <w:rPr>
          <w:rFonts w:asciiTheme="majorHAnsi" w:hAnsiTheme="majorHAnsi"/>
          <w:color w:val="auto"/>
          <w:sz w:val="22"/>
          <w:szCs w:val="22"/>
          <w:lang w:val="el-GR"/>
        </w:rPr>
      </w:pPr>
    </w:p>
    <w:p w14:paraId="0F7CBD23" w14:textId="11E1B2D1" w:rsidR="008D20E1" w:rsidRDefault="005C522D" w:rsidP="005C522D">
      <w:pPr>
        <w:pStyle w:val="Default"/>
        <w:spacing w:line="360" w:lineRule="auto"/>
        <w:ind w:left="567"/>
        <w:rPr>
          <w:rFonts w:asciiTheme="majorHAnsi" w:hAnsiTheme="majorHAnsi"/>
          <w:color w:val="auto"/>
          <w:sz w:val="22"/>
          <w:szCs w:val="22"/>
          <w:lang w:val="el-GR"/>
        </w:rPr>
      </w:pPr>
      <w:r w:rsidRPr="005C522D">
        <w:rPr>
          <w:rFonts w:asciiTheme="majorHAnsi" w:hAnsiTheme="majorHAnsi"/>
          <w:color w:val="auto"/>
          <w:sz w:val="22"/>
          <w:szCs w:val="22"/>
          <w:lang w:val="el-GR"/>
        </w:rPr>
        <w:t>Προκειμένου να είναι επιλέξιμες οι δαπάνες της κατηγορίας θα πρέπει να τηρούνται οι ακόλουθοι όροι:</w:t>
      </w:r>
    </w:p>
    <w:p w14:paraId="31AF1E92" w14:textId="3A7ACB26" w:rsidR="005C522D" w:rsidRPr="005C522D"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t>Το προμηθευόμενο λογισμικό να εξυπηρετεί άμεσα τη λειτουργία της επιχείρησης, να είναι σύγχρονης τεχνολογίας, καινούριο και η επιχείρηση να είναι νόμιμος κάτοχος της άδειας χρήσης αυτού.</w:t>
      </w:r>
    </w:p>
    <w:p w14:paraId="496C07AC" w14:textId="77777777" w:rsidR="005C522D" w:rsidRPr="005C522D"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lastRenderedPageBreak/>
        <w:t>Το προμηθευόμενο λογισμικό να περιγράφεται αναλυτικά, με τεχνικές προδιαγραφές, να τεκμηριώνεται η αναγκαιότητα της χρήσης του και το κόστος απόκτησής του.</w:t>
      </w:r>
    </w:p>
    <w:p w14:paraId="5495D88C" w14:textId="77777777" w:rsidR="005C522D" w:rsidRPr="005C522D"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t>Το προμηθευόμενο λογισμικό, συμπεριλαμβανομένης και της αντίστοιχης αρχικής παραμετροποίησης του, να μπορεί να χαρακτηριστεί ως άυλο στοιχείο ενεργητικού, σύμφωνα με τα προβλεπόμενα στα Ελληνικά Λογιστικά Πρότυπα, να επιδέχεται αποσβέσεων και να είναι καταχωρημένο στο μητρώο παγίων.</w:t>
      </w:r>
    </w:p>
    <w:p w14:paraId="2EAEF933" w14:textId="77777777" w:rsidR="005C522D" w:rsidRPr="005C522D"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t>Σε περίπτωση αγοράς ή και ανάπτυξης λογισμικού/εφαρμογών που απευθύνεται σε πελατειακό κοινό, θα πρέπει να λαμβάνεται μέριμνα να εξυπηρετεί τις ανάγκες ατόμων με αναπηρία σύμφωνα με το διεθνές πρότυπο Web Content Accessibility Guidelines (WCAG), έκδοση 2.1 σε επίπεδο ΑΑ (οι δαπάνες μετατροπής είναι επιλέξιμες).</w:t>
      </w:r>
    </w:p>
    <w:p w14:paraId="0CB4BDFB" w14:textId="1712BEDC" w:rsidR="00036853" w:rsidRPr="00036853"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t>Το κόστος ανανέωσης υφιστάμενου λογισμικού είναι επιλέξιμο. Η προσθήκη module για αναβάθμιση υφιστάμενου λογισμικού είναι επιλέξιμη μόνο αν περιγράφεται διακριτά στο παραστατικό αγοράς και τεκμαίρεται από την άδεια χρήσης του λογισμικού</w:t>
      </w:r>
      <w:r w:rsidR="00D45B43" w:rsidRPr="00D45B43">
        <w:rPr>
          <w:rFonts w:asciiTheme="majorHAnsi" w:hAnsiTheme="majorHAnsi"/>
          <w:color w:val="auto"/>
          <w:sz w:val="22"/>
          <w:szCs w:val="22"/>
          <w:lang w:val="el-GR"/>
        </w:rPr>
        <w:t>.</w:t>
      </w:r>
    </w:p>
    <w:p w14:paraId="21BFAF35" w14:textId="77777777" w:rsidR="00036853" w:rsidRDefault="00036853" w:rsidP="00003696">
      <w:pPr>
        <w:pStyle w:val="Default"/>
        <w:spacing w:line="360" w:lineRule="auto"/>
        <w:jc w:val="both"/>
        <w:rPr>
          <w:rFonts w:asciiTheme="majorHAnsi" w:hAnsiTheme="majorHAnsi"/>
          <w:color w:val="auto"/>
          <w:sz w:val="22"/>
          <w:szCs w:val="22"/>
          <w:lang w:val="el-GR"/>
        </w:rPr>
      </w:pPr>
    </w:p>
    <w:p w14:paraId="1331C149" w14:textId="77777777" w:rsidR="005C522D" w:rsidRPr="005C522D" w:rsidRDefault="005C522D" w:rsidP="005C522D">
      <w:pPr>
        <w:pStyle w:val="Default"/>
        <w:spacing w:line="360" w:lineRule="auto"/>
        <w:jc w:val="both"/>
        <w:rPr>
          <w:rFonts w:asciiTheme="majorHAnsi" w:hAnsiTheme="majorHAnsi"/>
          <w:b/>
          <w:bCs/>
          <w:sz w:val="22"/>
          <w:szCs w:val="22"/>
        </w:rPr>
      </w:pPr>
      <w:r w:rsidRPr="005C522D">
        <w:rPr>
          <w:rFonts w:asciiTheme="majorHAnsi" w:hAnsiTheme="majorHAnsi"/>
          <w:b/>
          <w:bCs/>
          <w:sz w:val="22"/>
          <w:szCs w:val="22"/>
        </w:rPr>
        <w:t xml:space="preserve">Δεν είναι επιλέξιμες δαπάνες: </w:t>
      </w:r>
    </w:p>
    <w:p w14:paraId="76D0D0CD" w14:textId="77777777" w:rsidR="005C522D" w:rsidRPr="005C522D" w:rsidRDefault="005C522D" w:rsidP="005C522D">
      <w:pPr>
        <w:pStyle w:val="Default"/>
        <w:numPr>
          <w:ilvl w:val="0"/>
          <w:numId w:val="3"/>
        </w:numPr>
        <w:spacing w:line="360" w:lineRule="auto"/>
        <w:ind w:left="1134" w:hanging="425"/>
        <w:jc w:val="both"/>
        <w:rPr>
          <w:rFonts w:asciiTheme="majorHAnsi" w:hAnsiTheme="majorHAnsi"/>
          <w:color w:val="auto"/>
          <w:sz w:val="22"/>
          <w:szCs w:val="22"/>
          <w:lang w:val="el-GR"/>
        </w:rPr>
      </w:pPr>
      <w:r w:rsidRPr="005C522D">
        <w:rPr>
          <w:rFonts w:asciiTheme="majorHAnsi" w:hAnsiTheme="majorHAnsi"/>
          <w:color w:val="auto"/>
          <w:sz w:val="22"/>
          <w:szCs w:val="22"/>
          <w:lang w:val="el-GR"/>
        </w:rPr>
        <w:t xml:space="preserve">Οι υπηρεσίες ανάπτυξης λογισμικού που γίνεται με ίδια μέσα του Δικαιούχου (ιδιοπαραγωγή λογισμικού). </w:t>
      </w:r>
    </w:p>
    <w:p w14:paraId="1BC77890" w14:textId="77777777" w:rsidR="006C30DB" w:rsidRDefault="006C30DB" w:rsidP="00003696">
      <w:pPr>
        <w:pStyle w:val="Default"/>
        <w:spacing w:line="360" w:lineRule="auto"/>
        <w:jc w:val="both"/>
        <w:rPr>
          <w:rFonts w:asciiTheme="majorHAnsi" w:hAnsiTheme="majorHAnsi"/>
          <w:color w:val="auto"/>
          <w:sz w:val="22"/>
          <w:szCs w:val="22"/>
          <w:lang w:val="el-GR"/>
        </w:rPr>
      </w:pPr>
    </w:p>
    <w:p w14:paraId="008D88BF" w14:textId="754AC567" w:rsidR="00992F11" w:rsidRPr="00182DC5" w:rsidRDefault="00992F11" w:rsidP="00992F11">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Pr="00992F11">
        <w:rPr>
          <w:rFonts w:asciiTheme="majorHAnsi" w:eastAsia="Calibri" w:hAnsiTheme="majorHAnsi" w:cs="Times New Roman"/>
          <w:b/>
          <w:bCs/>
          <w:color w:val="35ABB2"/>
          <w:kern w:val="0"/>
          <w:sz w:val="26"/>
          <w:szCs w:val="26"/>
          <w:lang w:val="el-GR" w:bidi="ar-SA"/>
          <w14:ligatures w14:val="none"/>
        </w:rPr>
        <w:t>Προβολής, Προώθησης &amp; Δικτύωσης</w:t>
      </w:r>
      <w:r w:rsidRPr="00DA1428">
        <w:rPr>
          <w:rFonts w:asciiTheme="majorHAnsi" w:eastAsia="Calibri" w:hAnsiTheme="majorHAnsi" w:cs="Times New Roman"/>
          <w:b/>
          <w:bCs/>
          <w:color w:val="35ABB2"/>
          <w:kern w:val="0"/>
          <w:sz w:val="26"/>
          <w:szCs w:val="26"/>
          <w:lang w:val="el-GR" w:bidi="ar-SA"/>
          <w14:ligatures w14:val="none"/>
        </w:rPr>
        <w:t>.</w:t>
      </w:r>
    </w:p>
    <w:p w14:paraId="50C3AFFF" w14:textId="0A1D1A2F" w:rsidR="00992F11" w:rsidRDefault="00992F11" w:rsidP="00992F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182DC5">
        <w:rPr>
          <w:rFonts w:asciiTheme="majorHAnsi" w:hAnsiTheme="majorHAnsi"/>
          <w:b/>
          <w:bCs/>
          <w:color w:val="auto"/>
          <w:sz w:val="22"/>
          <w:szCs w:val="22"/>
          <w:lang w:val="el-GR"/>
        </w:rPr>
        <w:t xml:space="preserve">Προμήθεια </w:t>
      </w:r>
      <w:r w:rsidRPr="00992F11">
        <w:rPr>
          <w:rFonts w:asciiTheme="majorHAnsi" w:hAnsiTheme="majorHAnsi"/>
          <w:b/>
          <w:bCs/>
          <w:color w:val="auto"/>
          <w:sz w:val="22"/>
          <w:szCs w:val="22"/>
          <w:lang w:val="el-GR"/>
        </w:rPr>
        <w:t>Δαπάνες δημοσιότητας</w:t>
      </w:r>
      <w:r>
        <w:rPr>
          <w:rFonts w:asciiTheme="majorHAnsi" w:hAnsiTheme="majorHAnsi"/>
          <w:b/>
          <w:bCs/>
          <w:color w:val="auto"/>
          <w:sz w:val="22"/>
          <w:szCs w:val="22"/>
          <w:lang w:val="el-GR"/>
        </w:rPr>
        <w:t xml:space="preserve"> </w:t>
      </w:r>
      <w:r w:rsidRPr="00992F11">
        <w:rPr>
          <w:rFonts w:asciiTheme="majorHAnsi" w:hAnsiTheme="majorHAnsi"/>
          <w:b/>
          <w:bCs/>
          <w:color w:val="auto"/>
          <w:sz w:val="22"/>
          <w:szCs w:val="22"/>
          <w:lang w:val="el-GR"/>
        </w:rPr>
        <w:t>– Έως 8.000€</w:t>
      </w:r>
      <w:r>
        <w:rPr>
          <w:rFonts w:asciiTheme="majorHAnsi" w:hAnsiTheme="majorHAnsi"/>
          <w:b/>
          <w:bCs/>
          <w:color w:val="auto"/>
          <w:sz w:val="22"/>
          <w:szCs w:val="22"/>
          <w:lang w:val="el-GR"/>
        </w:rPr>
        <w:t>.</w:t>
      </w:r>
    </w:p>
    <w:p w14:paraId="22569F3E" w14:textId="77777777" w:rsidR="00992F11" w:rsidRDefault="00992F11" w:rsidP="00992F11">
      <w:pPr>
        <w:pStyle w:val="Default"/>
        <w:spacing w:line="360" w:lineRule="auto"/>
        <w:ind w:left="567"/>
        <w:jc w:val="both"/>
        <w:rPr>
          <w:rFonts w:asciiTheme="majorHAnsi" w:hAnsiTheme="majorHAnsi"/>
          <w:color w:val="auto"/>
          <w:sz w:val="22"/>
          <w:szCs w:val="22"/>
          <w:lang w:val="el-GR"/>
        </w:rPr>
      </w:pPr>
      <w:r w:rsidRPr="00182DC5">
        <w:rPr>
          <w:rFonts w:asciiTheme="majorHAnsi" w:hAnsiTheme="majorHAnsi"/>
          <w:color w:val="auto"/>
          <w:sz w:val="22"/>
          <w:szCs w:val="22"/>
          <w:lang w:val="el-GR"/>
        </w:rPr>
        <w:t>Στην υποκατηγορία αυτή επιλέξιμες είναι δαπάνες που αφορούν προμήθεια ή/και ανάπτυξη λογισμικών. Μπορεί ενδεικτικά να περιλαμβάνονται δαπάνες όπως:</w:t>
      </w:r>
    </w:p>
    <w:p w14:paraId="72D48A63" w14:textId="1210DE7E"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 xml:space="preserve">Προμήθεια </w:t>
      </w:r>
      <w:r w:rsidRPr="00992F11">
        <w:rPr>
          <w:rFonts w:asciiTheme="majorHAnsi" w:hAnsiTheme="majorHAnsi"/>
          <w:color w:val="auto"/>
          <w:sz w:val="22"/>
          <w:szCs w:val="22"/>
          <w:lang w:val="el-GR"/>
        </w:rPr>
        <w:t>Δημιουργία περιεχομένου.</w:t>
      </w:r>
    </w:p>
    <w:p w14:paraId="1E93DCEC" w14:textId="4FF000E1"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Σχεδιασμός ή/και επανασχεδιασμό του brand της επιχείρησης - εταιρικής ταυτότητας (σχεδιασμός λογοτύπου, εταιρικών εντύπων, καρτών , Banners, ψηφιακή ταυτότητα, επιγραφές κλπ). Οι δαπάνες είναι επιλέξιμες αποκλειστικά και μόνο στην περίπτωση που καταλήγουν σε νέα εταιρική ταυτότητα.</w:t>
      </w:r>
    </w:p>
    <w:p w14:paraId="703853E5" w14:textId="13D5194C"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Σχεδιασμός υλικού διαφήμισης, προωθητικού υλικού και παραγωγή αυτού.</w:t>
      </w:r>
    </w:p>
    <w:p w14:paraId="1E59FD4F" w14:textId="62F87515"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Διαφημιστικές καταχωρήσεις σε έντυπη ή/και ηλεκτρονική μορφή.</w:t>
      </w:r>
    </w:p>
    <w:p w14:paraId="7027DB26" w14:textId="7D57757F" w:rsidR="00992F11" w:rsidRPr="00182DC5"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Δαπάνες προβολής σε ηλεκτρονικά μέσα κοινωνικής / επαγγελματικής δικτύωσης (πχ Google Ads, Facebook ads, e-mail marketing, newsletter campaign).</w:t>
      </w:r>
    </w:p>
    <w:p w14:paraId="36539070" w14:textId="77777777" w:rsidR="00992F11" w:rsidRDefault="00992F11" w:rsidP="00992F11">
      <w:pPr>
        <w:pStyle w:val="Default"/>
        <w:spacing w:line="360" w:lineRule="auto"/>
        <w:jc w:val="both"/>
        <w:rPr>
          <w:rFonts w:asciiTheme="majorHAnsi" w:hAnsiTheme="majorHAnsi"/>
          <w:b/>
          <w:bCs/>
          <w:color w:val="auto"/>
          <w:sz w:val="22"/>
          <w:szCs w:val="22"/>
          <w:lang w:val="el-GR"/>
        </w:rPr>
      </w:pPr>
    </w:p>
    <w:p w14:paraId="75D7FB3E" w14:textId="77777777" w:rsidR="00992F11" w:rsidRPr="00992F11" w:rsidRDefault="00992F11" w:rsidP="00992F11">
      <w:pPr>
        <w:pStyle w:val="Default"/>
        <w:spacing w:line="360" w:lineRule="auto"/>
        <w:ind w:left="567"/>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Υπό τους ακόλουθους όρους: </w:t>
      </w:r>
    </w:p>
    <w:p w14:paraId="79CE63D8"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Επιλέξιμο είναι μόνο το κόστος της υπηρεσίας που παρέχεται κατά το διάστημα επιλεξιμότητας δαπανών. </w:t>
      </w:r>
    </w:p>
    <w:p w14:paraId="7DD94C14"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Ειδικά για τις υπηρεσίες δημιουργίας ψηφιακού περιεχομένου, ο Δικαιούχος θα πρέπει είναι σε θέση να παρουσιάσει το υλικό που θα έχει αναπτυχθεί, σύμφωνα με τη σχετική σύμβαση που θα έχει συνάψει. </w:t>
      </w:r>
    </w:p>
    <w:p w14:paraId="144889CA"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lastRenderedPageBreak/>
        <w:t xml:space="preserve">Ειδικά για τις υπηρεσίες ψηφιακής προβολής, ο Δικαιούχος θα πρέπει είναι σε θέση να παρουσιάσει το υλικό που έχει αναπτυχθεί για την υλοποίηση ενεργειών ψηφιακής διαφήμισης και να τεκμηριώσει ενέργειες εξωστρέφειας που πραγματοποιήθηκαν κατά το χρόνο υλοποίησης τους, σύμφωνα με τη σχετική σύμβαση που θα έχει συνάψει. </w:t>
      </w:r>
    </w:p>
    <w:p w14:paraId="1764A76C" w14:textId="081A6BAE" w:rsidR="00992F11" w:rsidRPr="007A4B95" w:rsidRDefault="00992F11" w:rsidP="007A4B95">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Οι δαπάνες καταχωρούνται στα πάγια περιουσιακά στοιχεία της επιχείρησης, καθώς επίσης, και στο βιβλίο παγίων της επιχείρησης κατά τα προβλεπόμενα στην Εθνική φορολογική νομοθεσία. </w:t>
      </w:r>
    </w:p>
    <w:p w14:paraId="41D523E2" w14:textId="1CE27EFC" w:rsidR="00992F11" w:rsidRPr="00992F11" w:rsidRDefault="00992F11" w:rsidP="00992F11">
      <w:pPr>
        <w:pStyle w:val="Default"/>
        <w:spacing w:line="360" w:lineRule="auto"/>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 xml:space="preserve">Επισημαίνεται ότι δεν είναι επιλέξιμες μεμονωμένες ενέργειες καθαρά προωθητικού χαρακτήρα (π.χ. καμπάνιες </w:t>
      </w:r>
      <w:r w:rsidRPr="00992F11">
        <w:rPr>
          <w:rFonts w:asciiTheme="majorHAnsi" w:hAnsiTheme="majorHAnsi"/>
          <w:b/>
          <w:bCs/>
          <w:color w:val="auto"/>
          <w:sz w:val="22"/>
          <w:szCs w:val="22"/>
        </w:rPr>
        <w:t>marketing</w:t>
      </w:r>
      <w:r w:rsidRPr="00992F11">
        <w:rPr>
          <w:rFonts w:asciiTheme="majorHAnsi" w:hAnsiTheme="majorHAnsi"/>
          <w:b/>
          <w:bCs/>
          <w:color w:val="auto"/>
          <w:sz w:val="22"/>
          <w:szCs w:val="22"/>
          <w:lang w:val="el-GR"/>
        </w:rPr>
        <w:t>) που δεν αφορούν και δεν διασυνδέονται σαφώς με το επενδυτικό σχέδιο που υλοποιείται στο πλαίσιο του έργου.</w:t>
      </w:r>
    </w:p>
    <w:p w14:paraId="104F7E93" w14:textId="77777777" w:rsidR="00992F11" w:rsidRDefault="00992F11" w:rsidP="00992F11">
      <w:pPr>
        <w:pStyle w:val="Default"/>
        <w:spacing w:line="360" w:lineRule="auto"/>
        <w:jc w:val="both"/>
        <w:rPr>
          <w:rFonts w:asciiTheme="majorHAnsi" w:hAnsiTheme="majorHAnsi"/>
          <w:b/>
          <w:bCs/>
          <w:color w:val="auto"/>
          <w:sz w:val="22"/>
          <w:szCs w:val="22"/>
          <w:lang w:val="el-GR"/>
        </w:rPr>
      </w:pPr>
    </w:p>
    <w:p w14:paraId="163467CB" w14:textId="77777777" w:rsidR="00992F11" w:rsidRDefault="00992F11" w:rsidP="00992F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Αναβάθμιση υπάρχουσας ιστοσελίδας – Έως 2.000€</w:t>
      </w:r>
    </w:p>
    <w:p w14:paraId="2EDB16CC" w14:textId="77777777" w:rsidR="00992F11" w:rsidRPr="00992F11" w:rsidRDefault="00992F11" w:rsidP="00992F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Δημιουργία νέας ιστοσελίδας – Έως 3.000€</w:t>
      </w:r>
    </w:p>
    <w:p w14:paraId="63B53156" w14:textId="6B8BDD77" w:rsidR="00992F11" w:rsidRPr="00992F11" w:rsidRDefault="00992F11" w:rsidP="00992F11">
      <w:pPr>
        <w:pStyle w:val="Default"/>
        <w:spacing w:line="360" w:lineRule="auto"/>
        <w:ind w:left="567"/>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Στην υποκατηγορία αυτή είναι επιλέξιμες δαπάνες που αφορούν στην αναβάθμιση υπάρχουσας ιστοσελίδας ή στην κατασκευή νέας εφόσον δεν υπάρχει. </w:t>
      </w:r>
      <w:r>
        <w:rPr>
          <w:rFonts w:asciiTheme="majorHAnsi" w:hAnsiTheme="majorHAnsi"/>
          <w:color w:val="auto"/>
          <w:sz w:val="22"/>
          <w:szCs w:val="22"/>
          <w:lang w:val="el-GR"/>
        </w:rPr>
        <w:t xml:space="preserve"> </w:t>
      </w:r>
      <w:r w:rsidRPr="00992F11">
        <w:rPr>
          <w:rFonts w:asciiTheme="majorHAnsi" w:hAnsiTheme="majorHAnsi"/>
          <w:color w:val="auto"/>
          <w:sz w:val="22"/>
          <w:szCs w:val="22"/>
          <w:lang w:val="el-GR"/>
        </w:rPr>
        <w:t xml:space="preserve">Η συγκεκριμένη δαπάνη για να θεωρηθεί επιλέξιμη θα πρέπει η ιστοσελίδα να: </w:t>
      </w:r>
    </w:p>
    <w:p w14:paraId="39329E2A"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Λειτουργεί σε τουλάχιστον 2 γλώσσες, για το σύνολο των πληροφοριών που περιλαμβάνει </w:t>
      </w:r>
    </w:p>
    <w:p w14:paraId="65EA76A4"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με δυνατότητα προσαρμογής σε περιβάλλον κινητών συσκευών-Mobile responsive, </w:t>
      </w:r>
    </w:p>
    <w:p w14:paraId="4F08FA24" w14:textId="78038BE8" w:rsidR="00992F11" w:rsidRPr="007A4B95" w:rsidRDefault="00992F11" w:rsidP="007A4B95">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 xml:space="preserve">Είναι προσβάσιμη από άτομα με αναπηρία σύμφωνα με το διεθνές πρότυπο Web Content Accessibility Guidelines (WCAG), έκδοση 2.1 σε επίπεδο ΑΑ. </w:t>
      </w:r>
    </w:p>
    <w:p w14:paraId="4D897F07" w14:textId="5DA6F3BB" w:rsidR="00992F11" w:rsidRPr="00992F11" w:rsidRDefault="00992F11" w:rsidP="00992F11">
      <w:pPr>
        <w:pStyle w:val="Default"/>
        <w:spacing w:line="360" w:lineRule="auto"/>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Απαραίτητη προϋπόθεση για να είναι επιλέξιμες οι δαπάνες της υποκατηγορίας είναι η εγγραφή τους σε βιβλίο μητρώου παγίων ή αντίστοιχο βιβλίο κατά τα προβλεπόμενα στις εκάστοτε ισχύουσες φορολογικές διατάξεις.</w:t>
      </w:r>
    </w:p>
    <w:p w14:paraId="5B164F3F" w14:textId="77777777" w:rsidR="00992F11" w:rsidRPr="00992F11" w:rsidRDefault="00992F11" w:rsidP="00992F11">
      <w:pPr>
        <w:pStyle w:val="Default"/>
        <w:spacing w:line="360" w:lineRule="auto"/>
        <w:ind w:left="567"/>
        <w:jc w:val="both"/>
        <w:rPr>
          <w:rFonts w:asciiTheme="majorHAnsi" w:hAnsiTheme="majorHAnsi"/>
          <w:b/>
          <w:bCs/>
          <w:color w:val="auto"/>
          <w:sz w:val="22"/>
          <w:szCs w:val="22"/>
          <w:lang w:val="el-GR"/>
        </w:rPr>
      </w:pPr>
    </w:p>
    <w:p w14:paraId="737EA62B" w14:textId="77777777" w:rsidR="00992F11" w:rsidRPr="00992F11" w:rsidRDefault="00992F11" w:rsidP="00992F11">
      <w:pPr>
        <w:pStyle w:val="Default"/>
        <w:numPr>
          <w:ilvl w:val="0"/>
          <w:numId w:val="2"/>
        </w:numPr>
        <w:spacing w:line="360" w:lineRule="auto"/>
        <w:ind w:left="567" w:hanging="283"/>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Δαπάνες συμμετοχής ΜΜΕ σε εμπορικές εκθέσεις – Έως 5.000€</w:t>
      </w:r>
    </w:p>
    <w:p w14:paraId="7E43B4B5" w14:textId="7CDF42AE" w:rsidR="00992F11" w:rsidRDefault="00992F11" w:rsidP="00992F11">
      <w:pPr>
        <w:pStyle w:val="Default"/>
        <w:spacing w:line="360" w:lineRule="auto"/>
        <w:ind w:left="567"/>
        <w:jc w:val="both"/>
        <w:rPr>
          <w:rFonts w:asciiTheme="majorHAnsi" w:hAnsiTheme="majorHAnsi"/>
          <w:color w:val="auto"/>
          <w:sz w:val="22"/>
          <w:szCs w:val="22"/>
          <w:lang w:val="el-GR"/>
        </w:rPr>
      </w:pPr>
      <w:r w:rsidRPr="00182DC5">
        <w:rPr>
          <w:rFonts w:asciiTheme="majorHAnsi" w:hAnsiTheme="majorHAnsi"/>
          <w:color w:val="auto"/>
          <w:sz w:val="22"/>
          <w:szCs w:val="22"/>
          <w:lang w:val="el-GR"/>
        </w:rPr>
        <w:t>Στην υποκατηγορία αυτή επιλέξιμες δαπάνες</w:t>
      </w:r>
      <w:r>
        <w:rPr>
          <w:rFonts w:asciiTheme="majorHAnsi" w:hAnsiTheme="majorHAnsi"/>
          <w:color w:val="auto"/>
          <w:sz w:val="22"/>
          <w:szCs w:val="22"/>
          <w:lang w:val="el-GR"/>
        </w:rPr>
        <w:t xml:space="preserve"> </w:t>
      </w:r>
      <w:r w:rsidRPr="00182DC5">
        <w:rPr>
          <w:rFonts w:asciiTheme="majorHAnsi" w:hAnsiTheme="majorHAnsi"/>
          <w:color w:val="auto"/>
          <w:sz w:val="22"/>
          <w:szCs w:val="22"/>
          <w:lang w:val="el-GR"/>
        </w:rPr>
        <w:t>είναι</w:t>
      </w:r>
      <w:r>
        <w:rPr>
          <w:rFonts w:asciiTheme="majorHAnsi" w:hAnsiTheme="majorHAnsi"/>
          <w:color w:val="auto"/>
          <w:sz w:val="22"/>
          <w:szCs w:val="22"/>
          <w:lang w:val="el-GR"/>
        </w:rPr>
        <w:t>:</w:t>
      </w:r>
    </w:p>
    <w:p w14:paraId="37C05708" w14:textId="125ACE9D"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182DC5">
        <w:rPr>
          <w:rFonts w:asciiTheme="majorHAnsi" w:hAnsiTheme="majorHAnsi"/>
          <w:color w:val="auto"/>
          <w:sz w:val="22"/>
          <w:szCs w:val="22"/>
          <w:lang w:val="el-GR"/>
        </w:rPr>
        <w:t xml:space="preserve">Προμήθεια </w:t>
      </w:r>
      <w:r w:rsidRPr="00992F11">
        <w:rPr>
          <w:rFonts w:asciiTheme="majorHAnsi" w:hAnsiTheme="majorHAnsi"/>
          <w:color w:val="auto"/>
          <w:sz w:val="22"/>
          <w:szCs w:val="22"/>
          <w:lang w:val="el-GR"/>
        </w:rPr>
        <w:t>Κόστος συμμετοχής (μόνον με την ιδιότητα του εκθέτη).</w:t>
      </w:r>
    </w:p>
    <w:p w14:paraId="34F7944D" w14:textId="5C31F70F"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Ενοικίαση/διαμόρφωση περιπτέρου.</w:t>
      </w:r>
    </w:p>
    <w:p w14:paraId="19011648" w14:textId="77777777" w:rsidR="00992F11" w:rsidRPr="00992F11" w:rsidRDefault="00992F11" w:rsidP="00992F11">
      <w:pPr>
        <w:pStyle w:val="Default"/>
        <w:numPr>
          <w:ilvl w:val="0"/>
          <w:numId w:val="3"/>
        </w:numPr>
        <w:spacing w:line="360" w:lineRule="auto"/>
        <w:ind w:left="1134" w:hanging="425"/>
        <w:jc w:val="both"/>
        <w:rPr>
          <w:rFonts w:asciiTheme="majorHAnsi" w:hAnsiTheme="majorHAnsi"/>
          <w:color w:val="auto"/>
          <w:sz w:val="22"/>
          <w:szCs w:val="22"/>
          <w:lang w:val="el-GR"/>
        </w:rPr>
      </w:pPr>
      <w:r w:rsidRPr="00992F11">
        <w:rPr>
          <w:rFonts w:asciiTheme="majorHAnsi" w:hAnsiTheme="majorHAnsi"/>
          <w:color w:val="auto"/>
          <w:sz w:val="22"/>
          <w:szCs w:val="22"/>
          <w:lang w:val="el-GR"/>
        </w:rPr>
        <w:t>Μεταφορά εκθεμάτων.</w:t>
      </w:r>
    </w:p>
    <w:p w14:paraId="06787EB7" w14:textId="59C0867F" w:rsidR="00992F11" w:rsidRPr="00992F11" w:rsidRDefault="00992F11" w:rsidP="00992F11">
      <w:pPr>
        <w:pStyle w:val="Default"/>
        <w:spacing w:line="360" w:lineRule="auto"/>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Στην υποκατηγορία αυτή δεν είναι επιλέξιμες δαπάνες μετακίνησης και διαμονής προσώπων</w:t>
      </w:r>
    </w:p>
    <w:p w14:paraId="321C41B4" w14:textId="77777777" w:rsidR="006E01BC" w:rsidRDefault="006E01BC" w:rsidP="002C2195">
      <w:pPr>
        <w:pStyle w:val="Default"/>
        <w:spacing w:line="360" w:lineRule="auto"/>
        <w:jc w:val="both"/>
        <w:rPr>
          <w:rFonts w:asciiTheme="majorHAnsi" w:hAnsiTheme="majorHAnsi"/>
          <w:color w:val="auto"/>
          <w:sz w:val="22"/>
          <w:szCs w:val="22"/>
          <w:lang w:val="el-GR"/>
        </w:rPr>
      </w:pPr>
    </w:p>
    <w:p w14:paraId="2888738B" w14:textId="0B83006D" w:rsidR="00C914AA" w:rsidRPr="00182DC5" w:rsidRDefault="00C914AA" w:rsidP="00C914AA">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2"/>
          <w:szCs w:val="22"/>
          <w:lang w:val="el-GR" w:bidi="ar-SA"/>
          <w14:ligatures w14:val="none"/>
        </w:rPr>
      </w:pPr>
      <w:r w:rsidRPr="008D03AF">
        <w:rPr>
          <w:rFonts w:asciiTheme="majorHAnsi" w:eastAsia="Calibri" w:hAnsiTheme="majorHAnsi" w:cs="Times New Roman"/>
          <w:b/>
          <w:bCs/>
          <w:color w:val="35ABB2"/>
          <w:kern w:val="0"/>
          <w:sz w:val="26"/>
          <w:szCs w:val="26"/>
          <w:lang w:val="el-GR" w:bidi="ar-SA"/>
          <w14:ligatures w14:val="none"/>
        </w:rPr>
        <w:t xml:space="preserve">Δαπάνες </w:t>
      </w:r>
      <w:r w:rsidRPr="00C914AA">
        <w:rPr>
          <w:rFonts w:asciiTheme="majorHAnsi" w:eastAsia="Calibri" w:hAnsiTheme="majorHAnsi" w:cs="Times New Roman"/>
          <w:b/>
          <w:bCs/>
          <w:color w:val="35ABB2"/>
          <w:kern w:val="0"/>
          <w:sz w:val="26"/>
          <w:szCs w:val="26"/>
          <w:lang w:val="el-GR" w:bidi="ar-SA"/>
          <w14:ligatures w14:val="none"/>
        </w:rPr>
        <w:t>Διπλωμάτων Ευρεσιτεχνίας</w:t>
      </w:r>
      <w:r>
        <w:rPr>
          <w:rFonts w:asciiTheme="majorHAnsi" w:eastAsia="Calibri" w:hAnsiTheme="majorHAnsi" w:cs="Times New Roman"/>
          <w:b/>
          <w:bCs/>
          <w:color w:val="35ABB2"/>
          <w:kern w:val="0"/>
          <w:sz w:val="26"/>
          <w:szCs w:val="26"/>
          <w:lang w:val="el-GR" w:bidi="ar-SA"/>
          <w14:ligatures w14:val="none"/>
        </w:rPr>
        <w:t xml:space="preserve"> </w:t>
      </w:r>
      <w:r w:rsidRPr="00C914AA">
        <w:rPr>
          <w:rFonts w:asciiTheme="majorHAnsi" w:eastAsia="Calibri" w:hAnsiTheme="majorHAnsi" w:cs="Times New Roman"/>
          <w:b/>
          <w:bCs/>
          <w:color w:val="35ABB2"/>
          <w:kern w:val="0"/>
          <w:sz w:val="26"/>
          <w:szCs w:val="26"/>
          <w:lang w:val="el-GR" w:bidi="ar-SA"/>
          <w14:ligatures w14:val="none"/>
        </w:rPr>
        <w:t>– Έως 5.000€.</w:t>
      </w:r>
    </w:p>
    <w:p w14:paraId="15C559FD" w14:textId="28D22229" w:rsidR="00C914AA" w:rsidRDefault="00C914AA" w:rsidP="00C914AA">
      <w:pPr>
        <w:pStyle w:val="Default"/>
        <w:numPr>
          <w:ilvl w:val="0"/>
          <w:numId w:val="2"/>
        </w:numPr>
        <w:spacing w:line="360" w:lineRule="auto"/>
        <w:ind w:left="567" w:hanging="283"/>
        <w:jc w:val="both"/>
        <w:rPr>
          <w:rFonts w:asciiTheme="majorHAnsi" w:hAnsiTheme="majorHAnsi"/>
          <w:b/>
          <w:bCs/>
          <w:color w:val="auto"/>
          <w:sz w:val="22"/>
          <w:szCs w:val="22"/>
          <w:lang w:val="el-GR"/>
        </w:rPr>
      </w:pPr>
      <w:r w:rsidRPr="00992F11">
        <w:rPr>
          <w:rFonts w:asciiTheme="majorHAnsi" w:hAnsiTheme="majorHAnsi"/>
          <w:b/>
          <w:bCs/>
          <w:color w:val="auto"/>
          <w:sz w:val="22"/>
          <w:szCs w:val="22"/>
          <w:lang w:val="el-GR"/>
        </w:rPr>
        <w:t xml:space="preserve">Δαπάνες </w:t>
      </w:r>
      <w:r>
        <w:rPr>
          <w:rFonts w:asciiTheme="majorHAnsi" w:hAnsiTheme="majorHAnsi"/>
          <w:b/>
          <w:bCs/>
          <w:color w:val="auto"/>
          <w:sz w:val="22"/>
          <w:szCs w:val="22"/>
          <w:lang w:val="el-GR"/>
        </w:rPr>
        <w:t>Απόκτησης, επικύρωσης και Προστασίας Διπλωμάτων Ευρεσιτεχνίας</w:t>
      </w:r>
      <w:r>
        <w:rPr>
          <w:rFonts w:asciiTheme="majorHAnsi" w:hAnsiTheme="majorHAnsi"/>
          <w:b/>
          <w:bCs/>
          <w:color w:val="auto"/>
          <w:sz w:val="22"/>
          <w:szCs w:val="22"/>
          <w:lang w:val="el-GR"/>
        </w:rPr>
        <w:t>.</w:t>
      </w:r>
    </w:p>
    <w:p w14:paraId="631D5FD8" w14:textId="4108E6E1" w:rsidR="009309C0" w:rsidRPr="00087143" w:rsidRDefault="00C914AA" w:rsidP="000B0412">
      <w:pPr>
        <w:pStyle w:val="Default"/>
        <w:spacing w:line="360" w:lineRule="auto"/>
        <w:ind w:left="567"/>
        <w:jc w:val="both"/>
        <w:rPr>
          <w:rFonts w:asciiTheme="majorHAnsi" w:hAnsiTheme="majorHAnsi"/>
          <w:color w:val="auto"/>
          <w:sz w:val="22"/>
          <w:szCs w:val="22"/>
          <w:lang w:val="el-GR"/>
        </w:rPr>
      </w:pPr>
      <w:r w:rsidRPr="00C914AA">
        <w:rPr>
          <w:rFonts w:asciiTheme="majorHAnsi" w:hAnsiTheme="majorHAnsi"/>
          <w:color w:val="auto"/>
          <w:sz w:val="22"/>
          <w:szCs w:val="22"/>
          <w:lang w:val="el-GR"/>
        </w:rPr>
        <w:t xml:space="preserve">Δαπάνες προστασίας παραχθείσας γνώσης. Περιλαμβάνονται δαπάνες για άυλα στοιχεία ενεργητικού. Αφορά σε δαπάνες για την απόκτηση (obtaining) διπλωμάτων ευρεσιτεχνίας που συνδέονται ευθέως με τα αποτελέσματα του </w:t>
      </w:r>
      <w:r w:rsidRPr="00C914AA">
        <w:rPr>
          <w:rFonts w:asciiTheme="majorHAnsi" w:hAnsiTheme="majorHAnsi"/>
          <w:color w:val="auto"/>
          <w:sz w:val="22"/>
          <w:szCs w:val="22"/>
          <w:lang w:val="el-GR"/>
        </w:rPr>
        <w:lastRenderedPageBreak/>
        <w:t>έργου και εμπεριέχουν δαπάνες που προκαλούνται ως αποτέλεσμα των διαδικασιών των Φορέων Απονομής Διπλωμάτων Ευρεσιτεχνίας.</w:t>
      </w:r>
    </w:p>
    <w:p w14:paraId="35846672" w14:textId="4AF70683" w:rsidR="00087143" w:rsidRPr="008D03AF" w:rsidRDefault="00087143" w:rsidP="00087143">
      <w:pPr>
        <w:pStyle w:val="ListParagraph"/>
        <w:numPr>
          <w:ilvl w:val="0"/>
          <w:numId w:val="1"/>
        </w:numPr>
        <w:suppressAutoHyphens/>
        <w:autoSpaceDN w:val="0"/>
        <w:spacing w:line="254" w:lineRule="auto"/>
        <w:ind w:left="284" w:hanging="284"/>
        <w:jc w:val="both"/>
        <w:rPr>
          <w:rFonts w:asciiTheme="majorHAnsi" w:eastAsia="Calibri" w:hAnsiTheme="majorHAnsi" w:cs="Times New Roman"/>
          <w:b/>
          <w:bCs/>
          <w:color w:val="35ABB2"/>
          <w:kern w:val="0"/>
          <w:sz w:val="26"/>
          <w:szCs w:val="26"/>
          <w:lang w:val="el-GR" w:bidi="ar-SA"/>
          <w14:ligatures w14:val="none"/>
        </w:rPr>
      </w:pPr>
      <w:r w:rsidRPr="00967BFC">
        <w:rPr>
          <w:rFonts w:asciiTheme="majorHAnsi" w:eastAsia="Calibri" w:hAnsiTheme="majorHAnsi" w:cs="Times New Roman"/>
          <w:b/>
          <w:bCs/>
          <w:color w:val="35ABB2"/>
          <w:kern w:val="0"/>
          <w:sz w:val="26"/>
          <w:szCs w:val="26"/>
          <w:lang w:val="el-GR" w:bidi="ar-SA"/>
          <w14:ligatures w14:val="none"/>
        </w:rPr>
        <w:t>Έμμεσες δαπάνες</w:t>
      </w:r>
      <w:r>
        <w:rPr>
          <w:rFonts w:asciiTheme="majorHAnsi" w:eastAsia="Calibri" w:hAnsiTheme="majorHAnsi" w:cs="Times New Roman"/>
          <w:b/>
          <w:bCs/>
          <w:color w:val="35ABB2"/>
          <w:kern w:val="0"/>
          <w:sz w:val="26"/>
          <w:szCs w:val="26"/>
          <w:lang w:val="el-GR" w:bidi="ar-SA"/>
          <w14:ligatures w14:val="none"/>
        </w:rPr>
        <w:t xml:space="preserve"> – 7%</w:t>
      </w:r>
      <w:r w:rsidRPr="006B2B9D">
        <w:rPr>
          <w:lang w:val="el-GR"/>
        </w:rPr>
        <w:t xml:space="preserve"> </w:t>
      </w:r>
      <w:r w:rsidRPr="006B2B9D">
        <w:rPr>
          <w:rFonts w:asciiTheme="majorHAnsi" w:eastAsia="Calibri" w:hAnsiTheme="majorHAnsi" w:cs="Times New Roman"/>
          <w:b/>
          <w:bCs/>
          <w:color w:val="35ABB2"/>
          <w:kern w:val="0"/>
          <w:sz w:val="26"/>
          <w:szCs w:val="26"/>
          <w:lang w:val="el-GR" w:bidi="ar-SA"/>
          <w14:ligatures w14:val="none"/>
        </w:rPr>
        <w:t xml:space="preserve">επί των επιλέξιμων άμεσων δαπανών </w:t>
      </w:r>
      <w:r w:rsidR="00DC47CC">
        <w:rPr>
          <w:rFonts w:asciiTheme="majorHAnsi" w:eastAsia="Calibri" w:hAnsiTheme="majorHAnsi" w:cs="Times New Roman"/>
          <w:b/>
          <w:bCs/>
          <w:color w:val="35ABB2"/>
          <w:kern w:val="0"/>
          <w:sz w:val="26"/>
          <w:szCs w:val="26"/>
          <w:lang w:val="el-GR" w:bidi="ar-SA"/>
          <w14:ligatures w14:val="none"/>
        </w:rPr>
        <w:t>του επενδυτικού σχεδίου</w:t>
      </w:r>
      <w:r>
        <w:rPr>
          <w:rFonts w:asciiTheme="majorHAnsi" w:eastAsia="Calibri" w:hAnsiTheme="majorHAnsi" w:cs="Times New Roman"/>
          <w:b/>
          <w:bCs/>
          <w:color w:val="35ABB2"/>
          <w:kern w:val="0"/>
          <w:sz w:val="26"/>
          <w:szCs w:val="26"/>
          <w:lang w:val="el-GR" w:bidi="ar-SA"/>
          <w14:ligatures w14:val="none"/>
        </w:rPr>
        <w:t xml:space="preserve"> </w:t>
      </w:r>
      <w:r w:rsidRPr="008D03AF">
        <w:rPr>
          <w:rFonts w:asciiTheme="majorHAnsi" w:eastAsia="Calibri" w:hAnsiTheme="majorHAnsi" w:cs="Times New Roman"/>
          <w:b/>
          <w:bCs/>
          <w:color w:val="35ABB2"/>
          <w:kern w:val="0"/>
          <w:sz w:val="26"/>
          <w:szCs w:val="26"/>
          <w:lang w:val="el-GR" w:bidi="ar-SA"/>
          <w14:ligatures w14:val="none"/>
        </w:rPr>
        <w:t>:</w:t>
      </w:r>
    </w:p>
    <w:p w14:paraId="6FB81962" w14:textId="58A24B1A" w:rsidR="000B0412" w:rsidRPr="000B0412" w:rsidRDefault="000B0412" w:rsidP="000B0412">
      <w:pPr>
        <w:pStyle w:val="Default"/>
        <w:spacing w:line="360" w:lineRule="auto"/>
        <w:ind w:left="284"/>
        <w:rPr>
          <w:rFonts w:asciiTheme="majorHAnsi" w:hAnsiTheme="majorHAnsi"/>
          <w:color w:val="auto"/>
          <w:sz w:val="22"/>
          <w:szCs w:val="22"/>
          <w:lang w:val="el-GR"/>
        </w:rPr>
      </w:pPr>
      <w:r w:rsidRPr="000B0412">
        <w:rPr>
          <w:rFonts w:asciiTheme="majorHAnsi" w:hAnsiTheme="majorHAnsi"/>
          <w:color w:val="auto"/>
          <w:sz w:val="22"/>
          <w:szCs w:val="22"/>
          <w:lang w:val="el-GR"/>
        </w:rPr>
        <w:t>Κατά το χρονικό διάστημα υλοποίησης της πράξης είναι επιλέξιμες έμμεσες δαπάνες, οι οποίες περιλαμβάνονται στο συνολικό επιχορηγούμενο προϋπολογισμό της πράξης και υπολογίζονται με βάση σταθερό συντελεστή 7% επί των άμεσων επιλέξιμων δαπανών της πράξης, σύμφωνα με το άρθρο 54 του Καν. (ΕΕ) 1060/2021 και με τη χρήση κοινής στήριξης (άρθρο 25 Καν. (ΕΕ) 1060/2021). Η εν λόγω κατηγορία δαπάνης δεν απαιτεί την προσκόμιση παραστατικών, καταβάλλεται αναλογικά με κάθε πληρωμή και το αναλογούν ύψος αυτής οριστικοποιείται κατά το στάδιο της τελικής πιστοποίησης της πράξης. Στην κατηγορία αυτή περιλαμβάνονται ενδεικτικά γενικά έξοδα και λειτουργικές δαπάνες που δεν εμπίπτουν στις ανωτέρω κατηγορίες.</w:t>
      </w:r>
    </w:p>
    <w:p w14:paraId="4395D114" w14:textId="04B2C0FD" w:rsidR="00087143" w:rsidRPr="00277270" w:rsidRDefault="000B0412" w:rsidP="000B0412">
      <w:pPr>
        <w:pStyle w:val="Default"/>
        <w:spacing w:line="360" w:lineRule="auto"/>
        <w:ind w:left="284"/>
        <w:jc w:val="both"/>
        <w:rPr>
          <w:rFonts w:asciiTheme="majorHAnsi" w:hAnsiTheme="majorHAnsi"/>
          <w:color w:val="auto"/>
          <w:sz w:val="22"/>
          <w:szCs w:val="22"/>
          <w:lang w:val="el-GR"/>
        </w:rPr>
      </w:pPr>
      <w:r w:rsidRPr="000B0412">
        <w:rPr>
          <w:rFonts w:asciiTheme="majorHAnsi" w:hAnsiTheme="majorHAnsi"/>
          <w:color w:val="auto"/>
          <w:sz w:val="22"/>
          <w:szCs w:val="22"/>
          <w:lang w:val="el-GR"/>
        </w:rPr>
        <w:t xml:space="preserve">Τονίζεται ότι η κατηγορία </w:t>
      </w:r>
      <w:r w:rsidRPr="00B12DD9">
        <w:rPr>
          <w:rFonts w:asciiTheme="majorHAnsi" w:hAnsiTheme="majorHAnsi"/>
          <w:b/>
          <w:bCs/>
          <w:color w:val="auto"/>
          <w:sz w:val="22"/>
          <w:szCs w:val="22"/>
          <w:lang w:val="el-GR"/>
        </w:rPr>
        <w:t>θα πρέπει να περιλαμβάνεται υποχρεωτικά στην πράξη</w:t>
      </w:r>
      <w:r w:rsidRPr="000B0412">
        <w:rPr>
          <w:rFonts w:asciiTheme="majorHAnsi" w:hAnsiTheme="majorHAnsi"/>
          <w:color w:val="auto"/>
          <w:sz w:val="22"/>
          <w:szCs w:val="22"/>
          <w:lang w:val="el-GR"/>
        </w:rPr>
        <w:t xml:space="preserve"> και θα ελέγχεται από το ΟΠΣΚΕ αν τηρείται το ποσοστό 7% επί των επιλέξιμων άμεσων δαπανών της πράξης.</w:t>
      </w:r>
      <w:r w:rsidR="00DC47CC" w:rsidRPr="00DC47CC">
        <w:rPr>
          <w:rFonts w:asciiTheme="majorHAnsi" w:hAnsiTheme="majorHAnsi"/>
          <w:color w:val="auto"/>
          <w:sz w:val="22"/>
          <w:szCs w:val="22"/>
          <w:lang w:val="el-GR"/>
        </w:rPr>
        <w:t>.</w:t>
      </w:r>
    </w:p>
    <w:p w14:paraId="2749A8FA" w14:textId="77777777" w:rsidR="00E65AB1" w:rsidRPr="003A7C55" w:rsidRDefault="00E65AB1" w:rsidP="00597D5C">
      <w:pPr>
        <w:pStyle w:val="Default"/>
        <w:spacing w:line="360" w:lineRule="auto"/>
        <w:jc w:val="both"/>
        <w:rPr>
          <w:rFonts w:asciiTheme="majorHAnsi" w:eastAsia="Calibri" w:hAnsiTheme="majorHAnsi" w:cs="Times New Roman"/>
          <w:b/>
          <w:bCs/>
          <w:color w:val="35ABB2"/>
          <w:sz w:val="22"/>
          <w:szCs w:val="22"/>
          <w:lang w:val="el-GR" w:eastAsia="en-US" w:bidi="ar-SA"/>
        </w:rPr>
      </w:pPr>
    </w:p>
    <w:p w14:paraId="5799B515" w14:textId="6DB5EE2D" w:rsidR="00CF252A" w:rsidRPr="00A61827" w:rsidRDefault="007A4B95" w:rsidP="00A61827">
      <w:pPr>
        <w:pStyle w:val="ListParagraph"/>
        <w:suppressAutoHyphens/>
        <w:autoSpaceDN w:val="0"/>
        <w:spacing w:line="254" w:lineRule="auto"/>
        <w:ind w:left="284"/>
        <w:jc w:val="both"/>
        <w:rPr>
          <w:rFonts w:asciiTheme="majorHAnsi" w:eastAsia="Calibri" w:hAnsiTheme="majorHAnsi" w:cs="Times New Roman"/>
          <w:b/>
          <w:bCs/>
          <w:color w:val="35ABB2"/>
          <w:kern w:val="0"/>
          <w:sz w:val="26"/>
          <w:szCs w:val="26"/>
          <w:lang w:val="el-GR" w:bidi="ar-SA"/>
          <w14:ligatures w14:val="none"/>
        </w:rPr>
      </w:pPr>
      <w:r>
        <w:rPr>
          <w:rFonts w:asciiTheme="majorHAnsi" w:eastAsia="Calibri" w:hAnsiTheme="majorHAnsi" w:cs="Times New Roman"/>
          <w:b/>
          <w:bCs/>
          <w:color w:val="35ABB2"/>
          <w:kern w:val="0"/>
          <w:sz w:val="26"/>
          <w:szCs w:val="26"/>
          <w:lang w:val="el-GR" w:bidi="ar-SA"/>
          <w14:ligatures w14:val="none"/>
        </w:rPr>
        <w:t>Για το σύνολο των κατηγοριών Δαπανών δεν</w:t>
      </w:r>
      <w:r w:rsidR="00B12DD9" w:rsidRPr="00B12DD9">
        <w:rPr>
          <w:rFonts w:asciiTheme="majorHAnsi" w:eastAsia="Calibri" w:hAnsiTheme="majorHAnsi" w:cs="Times New Roman"/>
          <w:b/>
          <w:bCs/>
          <w:color w:val="35ABB2"/>
          <w:kern w:val="0"/>
          <w:sz w:val="26"/>
          <w:szCs w:val="26"/>
          <w:lang w:val="el-GR" w:bidi="ar-SA"/>
          <w14:ligatures w14:val="none"/>
        </w:rPr>
        <w:t xml:space="preserve"> αποτελούν επιλέξιμες δαπάνες οι παρακάτω:</w:t>
      </w:r>
    </w:p>
    <w:p w14:paraId="2E018547" w14:textId="4D0EB855"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Χρεωστικοί τόκοι, εκτός επιχορηγήσεων που δίνονται υπό τη μορφή επιδότησης επιτοκίου ή επιδότησης προμηθειών εγγύησης,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Δικαιούχου.</w:t>
      </w:r>
    </w:p>
    <w:p w14:paraId="63FDA3CE" w14:textId="12D4D024"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Ο Φόρος Προστιθέμενης Αξίας, εκτός των περιπτώσεων που αναφέρονται στο άρθρο 25 της ΥΑΕΚΕΔ.</w:t>
      </w:r>
    </w:p>
    <w:p w14:paraId="593EC139" w14:textId="3B7D644F"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Οι δαπάνες που αφορούν σε παραστατικά, που δεν έχουν εξοφληθεί μέχρι την υποβολή του Τελικού Αιτήματος Επαλήθευσης του κάθε έργου.</w:t>
      </w:r>
    </w:p>
    <w:p w14:paraId="071C8B88" w14:textId="582F7094"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Κρατήσεις υπέρ του ίδιου του Δικαιούχου ή για λογαριασμό του ή παρακρατήσεις, που επιστρέφουν στο Δικαιούχο με οποιοδήποτε τρόπο.</w:t>
      </w:r>
    </w:p>
    <w:p w14:paraId="3C94D260" w14:textId="3FC996BC"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Οι δαπάνες για πρόστιμα, χρηματικές ποινές και έξοδα για την επίλυση διαφορών.</w:t>
      </w:r>
    </w:p>
    <w:p w14:paraId="1EC655E9" w14:textId="77D104D7" w:rsidR="00B12DD9" w:rsidRPr="00B12DD9"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Οι δαπάνες αγοράς μεταχειρισμένου εξοπλισμού, συμπεριλαμβανομένου και του ανακατασκευασμένου (πχ refurbished PC).</w:t>
      </w:r>
    </w:p>
    <w:p w14:paraId="29436337" w14:textId="39DA92C1" w:rsidR="00D02DC5" w:rsidRPr="009309C0" w:rsidRDefault="00B12DD9" w:rsidP="00B12DD9">
      <w:pPr>
        <w:pStyle w:val="Default"/>
        <w:numPr>
          <w:ilvl w:val="0"/>
          <w:numId w:val="3"/>
        </w:numPr>
        <w:spacing w:line="360" w:lineRule="auto"/>
        <w:ind w:left="1134" w:hanging="425"/>
        <w:jc w:val="both"/>
        <w:rPr>
          <w:rFonts w:asciiTheme="majorHAnsi" w:hAnsiTheme="majorHAnsi"/>
          <w:color w:val="auto"/>
          <w:sz w:val="22"/>
          <w:szCs w:val="22"/>
          <w:lang w:val="el-GR"/>
        </w:rPr>
      </w:pPr>
      <w:r w:rsidRPr="00B12DD9">
        <w:rPr>
          <w:rFonts w:asciiTheme="majorHAnsi" w:hAnsiTheme="majorHAnsi"/>
          <w:color w:val="auto"/>
          <w:sz w:val="22"/>
          <w:szCs w:val="22"/>
          <w:lang w:val="el-GR"/>
        </w:rPr>
        <w:t>Προμήθεια οχήματος που έχει επιδοτηθεί από οποιοδήποτε άλλο πρόγραμμα (π.χ. Κινούμαι ηλεκτρικά).</w:t>
      </w:r>
    </w:p>
    <w:sectPr w:rsidR="00D02DC5" w:rsidRPr="009309C0" w:rsidSect="004F1671">
      <w:headerReference w:type="default" r:id="rId7"/>
      <w:footerReference w:type="default" r:id="rId8"/>
      <w:pgSz w:w="11906" w:h="16838"/>
      <w:pgMar w:top="1190" w:right="566" w:bottom="720" w:left="567" w:header="142" w:footer="10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91F3" w14:textId="77777777" w:rsidR="006C531D" w:rsidRDefault="006C531D" w:rsidP="00171B38">
      <w:pPr>
        <w:spacing w:after="0" w:line="240" w:lineRule="auto"/>
      </w:pPr>
      <w:r>
        <w:separator/>
      </w:r>
    </w:p>
  </w:endnote>
  <w:endnote w:type="continuationSeparator" w:id="0">
    <w:p w14:paraId="1D5B2966" w14:textId="77777777" w:rsidR="006C531D" w:rsidRDefault="006C531D" w:rsidP="0017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46725"/>
      <w:docPartObj>
        <w:docPartGallery w:val="Page Numbers (Bottom of Page)"/>
        <w:docPartUnique/>
      </w:docPartObj>
    </w:sdtPr>
    <w:sdtEndPr>
      <w:rPr>
        <w:noProof/>
      </w:rPr>
    </w:sdtEndPr>
    <w:sdtContent>
      <w:p w14:paraId="5AD66B16" w14:textId="77777777" w:rsidR="00E43A31" w:rsidRDefault="00E43A31" w:rsidP="00E43A31">
        <w:pPr>
          <w:pStyle w:val="Footer"/>
          <w:jc w:val="right"/>
        </w:pPr>
        <w:r>
          <w:rPr>
            <w:noProof/>
          </w:rPr>
          <mc:AlternateContent>
            <mc:Choice Requires="wps">
              <w:drawing>
                <wp:anchor distT="0" distB="0" distL="114300" distR="114300" simplePos="0" relativeHeight="251659264" behindDoc="0" locked="0" layoutInCell="1" allowOverlap="1" wp14:anchorId="6ED70979" wp14:editId="4A936908">
                  <wp:simplePos x="0" y="0"/>
                  <wp:positionH relativeFrom="column">
                    <wp:posOffset>348066</wp:posOffset>
                  </wp:positionH>
                  <wp:positionV relativeFrom="paragraph">
                    <wp:posOffset>121920</wp:posOffset>
                  </wp:positionV>
                  <wp:extent cx="5725297" cy="683741"/>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297" cy="683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8DB9E" w14:textId="77777777" w:rsidR="00E43A31" w:rsidRPr="006D60DE" w:rsidRDefault="00E43A31" w:rsidP="00E43A31">
                              <w:pPr>
                                <w:autoSpaceDE w:val="0"/>
                                <w:autoSpaceDN w:val="0"/>
                                <w:adjustRightInd w:val="0"/>
                                <w:spacing w:after="0" w:line="240" w:lineRule="auto"/>
                                <w:rPr>
                                  <w:rFonts w:eastAsia="Times New Roman" w:cs="Tahoma"/>
                                  <w:b/>
                                  <w:bCs/>
                                  <w:sz w:val="18"/>
                                  <w:szCs w:val="18"/>
                                </w:rPr>
                              </w:pPr>
                              <w:r w:rsidRPr="006D60DE">
                                <w:rPr>
                                  <w:rFonts w:eastAsia="Times New Roman" w:cs="Tahoma"/>
                                  <w:b/>
                                  <w:bCs/>
                                  <w:sz w:val="18"/>
                                  <w:szCs w:val="18"/>
                                </w:rPr>
                                <w:t>ENTERSOFTONE A.E.</w:t>
                              </w:r>
                            </w:p>
                            <w:p w14:paraId="5CDE1364" w14:textId="77777777" w:rsidR="00E43A31" w:rsidRPr="006D60DE" w:rsidRDefault="00E43A31" w:rsidP="00E43A31">
                              <w:pPr>
                                <w:autoSpaceDE w:val="0"/>
                                <w:autoSpaceDN w:val="0"/>
                                <w:adjustRightInd w:val="0"/>
                                <w:spacing w:after="0" w:line="240" w:lineRule="auto"/>
                                <w:rPr>
                                  <w:rFonts w:eastAsia="Times New Roman" w:cs="Tahoma"/>
                                  <w:sz w:val="18"/>
                                  <w:szCs w:val="18"/>
                                </w:rPr>
                              </w:pPr>
                              <w:r w:rsidRPr="006D60DE">
                                <w:rPr>
                                  <w:rFonts w:eastAsia="Times New Roman" w:cs="Tahoma"/>
                                  <w:b/>
                                  <w:bCs/>
                                  <w:sz w:val="18"/>
                                  <w:szCs w:val="18"/>
                                </w:rPr>
                                <w:t>Αθήνα</w:t>
                              </w:r>
                              <w:r w:rsidRPr="006D60DE">
                                <w:rPr>
                                  <w:rFonts w:eastAsia="Times New Roman" w:cs="Tahoma"/>
                                  <w:sz w:val="18"/>
                                  <w:szCs w:val="18"/>
                                </w:rPr>
                                <w:t xml:space="preserve">: Αχιλλέως 8 &amp; Λ.Κατσώνη | GR 176 74 Καλλιθέα | Τ: +30 211 102 2222| F: +30 210 948 4094  </w:t>
                              </w:r>
                            </w:p>
                            <w:p w14:paraId="4E9AB8BF" w14:textId="77777777" w:rsidR="00E43A31" w:rsidRPr="006D60DE" w:rsidRDefault="00E43A31" w:rsidP="00E43A31">
                              <w:pPr>
                                <w:spacing w:after="0" w:line="240" w:lineRule="auto"/>
                                <w:rPr>
                                  <w:rFonts w:eastAsia="Times New Roman" w:cs="Tahoma"/>
                                  <w:sz w:val="18"/>
                                  <w:szCs w:val="18"/>
                                  <w:lang w:val="el-GR"/>
                                </w:rPr>
                              </w:pPr>
                              <w:r w:rsidRPr="006D60DE">
                                <w:rPr>
                                  <w:rFonts w:eastAsia="Times New Roman" w:cs="Tahoma"/>
                                  <w:b/>
                                  <w:bCs/>
                                  <w:sz w:val="18"/>
                                  <w:szCs w:val="18"/>
                                  <w:lang w:val="el-GR"/>
                                </w:rPr>
                                <w:t>Θεσσαλονίκη</w:t>
                              </w:r>
                              <w:r w:rsidRPr="006D60DE">
                                <w:rPr>
                                  <w:rFonts w:eastAsia="Times New Roman" w:cs="Tahoma"/>
                                  <w:sz w:val="18"/>
                                  <w:szCs w:val="18"/>
                                  <w:lang w:val="el-GR"/>
                                </w:rPr>
                                <w:t xml:space="preserve">: 6ο χλμ Θεσ/νίκης – Θέρμης | 570 01 Θέρμη | Τ: +30 2313 084 200 | </w:t>
                              </w:r>
                              <w:r w:rsidRPr="006D60DE">
                                <w:rPr>
                                  <w:rFonts w:eastAsia="Times New Roman" w:cs="Tahoma"/>
                                  <w:sz w:val="18"/>
                                  <w:szCs w:val="18"/>
                                </w:rPr>
                                <w:t>F</w:t>
                              </w:r>
                              <w:r w:rsidRPr="006D60DE">
                                <w:rPr>
                                  <w:rFonts w:eastAsia="Times New Roman" w:cs="Tahoma"/>
                                  <w:sz w:val="18"/>
                                  <w:szCs w:val="18"/>
                                  <w:lang w:val="el-GR"/>
                                </w:rPr>
                                <w:t xml:space="preserve">: +30 2310 334 639 </w:t>
                              </w:r>
                            </w:p>
                            <w:p w14:paraId="20AE53ED" w14:textId="77777777" w:rsidR="00E43A31" w:rsidRPr="006D60DE" w:rsidRDefault="00E43A31" w:rsidP="00E43A31">
                              <w:pPr>
                                <w:spacing w:after="0" w:line="240" w:lineRule="auto"/>
                                <w:rPr>
                                  <w:rFonts w:cs="Tahoma"/>
                                  <w:i/>
                                  <w:iCs/>
                                  <w:sz w:val="28"/>
                                  <w:szCs w:val="28"/>
                                  <w:lang w:val="el-GR"/>
                                </w:rPr>
                              </w:pPr>
                              <w:r w:rsidRPr="006D60DE">
                                <w:rPr>
                                  <w:rFonts w:eastAsia="Times New Roman" w:cs="Tahoma"/>
                                  <w:i/>
                                  <w:iCs/>
                                  <w:sz w:val="18"/>
                                  <w:szCs w:val="18"/>
                                </w:rPr>
                                <w:t>www</w:t>
                              </w:r>
                              <w:r w:rsidRPr="006D60DE">
                                <w:rPr>
                                  <w:rFonts w:eastAsia="Times New Roman" w:cs="Tahoma"/>
                                  <w:i/>
                                  <w:iCs/>
                                  <w:sz w:val="18"/>
                                  <w:szCs w:val="18"/>
                                  <w:lang w:val="el-GR"/>
                                </w:rPr>
                                <w:t>.</w:t>
                              </w:r>
                              <w:r w:rsidRPr="006D60DE">
                                <w:rPr>
                                  <w:rFonts w:eastAsia="Times New Roman" w:cs="Tahoma"/>
                                  <w:i/>
                                  <w:iCs/>
                                  <w:sz w:val="18"/>
                                  <w:szCs w:val="18"/>
                                </w:rPr>
                                <w:t>entersoftone</w:t>
                              </w:r>
                              <w:r w:rsidRPr="006D60DE">
                                <w:rPr>
                                  <w:rFonts w:eastAsia="Times New Roman" w:cs="Tahoma"/>
                                  <w:i/>
                                  <w:iCs/>
                                  <w:sz w:val="18"/>
                                  <w:szCs w:val="18"/>
                                  <w:lang w:val="el-GR"/>
                                </w:rPr>
                                <w:t>.</w:t>
                              </w:r>
                              <w:r w:rsidRPr="006D60DE">
                                <w:rPr>
                                  <w:rFonts w:eastAsia="Times New Roman" w:cs="Tahoma"/>
                                  <w:i/>
                                  <w:iCs/>
                                  <w:sz w:val="18"/>
                                  <w:szCs w:val="18"/>
                                </w:rPr>
                                <w:t>gr</w:t>
                              </w:r>
                              <w:r w:rsidRPr="006D60DE">
                                <w:rPr>
                                  <w:rFonts w:eastAsia="Times New Roman" w:cs="Tahoma"/>
                                  <w:i/>
                                  <w:iCs/>
                                  <w:sz w:val="18"/>
                                  <w:szCs w:val="18"/>
                                  <w:lang w:val="el-GR"/>
                                </w:rPr>
                                <w:t xml:space="preserve"> | </w:t>
                              </w:r>
                              <w:r w:rsidRPr="006D60DE">
                                <w:rPr>
                                  <w:rFonts w:eastAsia="Times New Roman" w:cs="Tahoma"/>
                                  <w:i/>
                                  <w:iCs/>
                                  <w:sz w:val="18"/>
                                  <w:szCs w:val="18"/>
                                </w:rPr>
                                <w:t>info</w:t>
                              </w:r>
                              <w:r w:rsidRPr="006D60DE">
                                <w:rPr>
                                  <w:rFonts w:eastAsia="Times New Roman" w:cs="Tahoma"/>
                                  <w:i/>
                                  <w:iCs/>
                                  <w:sz w:val="18"/>
                                  <w:szCs w:val="18"/>
                                  <w:lang w:val="el-GR"/>
                                </w:rPr>
                                <w:t>@</w:t>
                              </w:r>
                              <w:r w:rsidRPr="006D60DE">
                                <w:rPr>
                                  <w:rFonts w:eastAsia="Times New Roman" w:cs="Tahoma"/>
                                  <w:i/>
                                  <w:iCs/>
                                  <w:sz w:val="18"/>
                                  <w:szCs w:val="18"/>
                                </w:rPr>
                                <w:t>entersoftone</w:t>
                              </w:r>
                              <w:r w:rsidRPr="006D60DE">
                                <w:rPr>
                                  <w:rFonts w:eastAsia="Times New Roman" w:cs="Tahoma"/>
                                  <w:i/>
                                  <w:iCs/>
                                  <w:sz w:val="18"/>
                                  <w:szCs w:val="18"/>
                                  <w:lang w:val="el-GR"/>
                                </w:rPr>
                                <w:t>.</w:t>
                              </w:r>
                              <w:r w:rsidRPr="006D60DE">
                                <w:rPr>
                                  <w:rFonts w:eastAsia="Times New Roman" w:cs="Tahoma"/>
                                  <w:i/>
                                  <w:iCs/>
                                  <w:sz w:val="18"/>
                                  <w:szCs w:val="18"/>
                                </w:rPr>
                                <w:t>gr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70979" id="_x0000_t202" coordsize="21600,21600" o:spt="202" path="m,l,21600r21600,l21600,xe">
                  <v:stroke joinstyle="miter"/>
                  <v:path gradientshapeok="t" o:connecttype="rect"/>
                </v:shapetype>
                <v:shape id="Text Box 12" o:spid="_x0000_s1026" type="#_x0000_t202" style="position:absolute;left:0;text-align:left;margin-left:27.4pt;margin-top:9.6pt;width:450.8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" filled="f" stroked="f" strokeweight=".5pt">
                  <v:textbox>
                    <w:txbxContent>
                      <w:p w14:paraId="4608DB9E" w14:textId="77777777" w:rsidR="00E43A31" w:rsidRPr="006D60DE" w:rsidRDefault="00E43A31" w:rsidP="00E43A31">
                        <w:pPr>
                          <w:autoSpaceDE w:val="0"/>
                          <w:autoSpaceDN w:val="0"/>
                          <w:adjustRightInd w:val="0"/>
                          <w:spacing w:after="0" w:line="240" w:lineRule="auto"/>
                          <w:rPr>
                            <w:rFonts w:eastAsia="Times New Roman" w:cs="Tahoma"/>
                            <w:b/>
                            <w:bCs/>
                            <w:sz w:val="18"/>
                            <w:szCs w:val="18"/>
                          </w:rPr>
                        </w:pPr>
                        <w:r w:rsidRPr="006D60DE">
                          <w:rPr>
                            <w:rFonts w:eastAsia="Times New Roman" w:cs="Tahoma"/>
                            <w:b/>
                            <w:bCs/>
                            <w:sz w:val="18"/>
                            <w:szCs w:val="18"/>
                          </w:rPr>
                          <w:t>ENTERSOFTONE A.E.</w:t>
                        </w:r>
                      </w:p>
                      <w:p w14:paraId="5CDE1364" w14:textId="77777777" w:rsidR="00E43A31" w:rsidRPr="006D60DE" w:rsidRDefault="00E43A31" w:rsidP="00E43A31">
                        <w:pPr>
                          <w:autoSpaceDE w:val="0"/>
                          <w:autoSpaceDN w:val="0"/>
                          <w:adjustRightInd w:val="0"/>
                          <w:spacing w:after="0" w:line="240" w:lineRule="auto"/>
                          <w:rPr>
                            <w:rFonts w:eastAsia="Times New Roman" w:cs="Tahoma"/>
                            <w:sz w:val="18"/>
                            <w:szCs w:val="18"/>
                          </w:rPr>
                        </w:pPr>
                        <w:r w:rsidRPr="006D60DE">
                          <w:rPr>
                            <w:rFonts w:eastAsia="Times New Roman" w:cs="Tahoma"/>
                            <w:b/>
                            <w:bCs/>
                            <w:sz w:val="18"/>
                            <w:szCs w:val="18"/>
                          </w:rPr>
                          <w:t>Αθήνα</w:t>
                        </w:r>
                        <w:r w:rsidRPr="006D60DE">
                          <w:rPr>
                            <w:rFonts w:eastAsia="Times New Roman" w:cs="Tahoma"/>
                            <w:sz w:val="18"/>
                            <w:szCs w:val="18"/>
                          </w:rPr>
                          <w:t xml:space="preserve">: Αχιλλέως 8 &amp; Λ.Κατσώνη | GR 176 74 Καλλιθέα | Τ: +30 211 102 2222| F: +30 210 948 4094  </w:t>
                        </w:r>
                      </w:p>
                      <w:p w14:paraId="4E9AB8BF" w14:textId="77777777" w:rsidR="00E43A31" w:rsidRPr="006D60DE" w:rsidRDefault="00E43A31" w:rsidP="00E43A31">
                        <w:pPr>
                          <w:spacing w:after="0" w:line="240" w:lineRule="auto"/>
                          <w:rPr>
                            <w:rFonts w:eastAsia="Times New Roman" w:cs="Tahoma"/>
                            <w:sz w:val="18"/>
                            <w:szCs w:val="18"/>
                            <w:lang w:val="el-GR"/>
                          </w:rPr>
                        </w:pPr>
                        <w:r w:rsidRPr="006D60DE">
                          <w:rPr>
                            <w:rFonts w:eastAsia="Times New Roman" w:cs="Tahoma"/>
                            <w:b/>
                            <w:bCs/>
                            <w:sz w:val="18"/>
                            <w:szCs w:val="18"/>
                            <w:lang w:val="el-GR"/>
                          </w:rPr>
                          <w:t>Θεσσαλονίκη</w:t>
                        </w:r>
                        <w:r w:rsidRPr="006D60DE">
                          <w:rPr>
                            <w:rFonts w:eastAsia="Times New Roman" w:cs="Tahoma"/>
                            <w:sz w:val="18"/>
                            <w:szCs w:val="18"/>
                            <w:lang w:val="el-GR"/>
                          </w:rPr>
                          <w:t xml:space="preserve">: 6ο χλμ Θεσ/νίκης – Θέρμης | 570 01 Θέρμη | Τ: +30 2313 084 200 | </w:t>
                        </w:r>
                        <w:r w:rsidRPr="006D60DE">
                          <w:rPr>
                            <w:rFonts w:eastAsia="Times New Roman" w:cs="Tahoma"/>
                            <w:sz w:val="18"/>
                            <w:szCs w:val="18"/>
                          </w:rPr>
                          <w:t>F</w:t>
                        </w:r>
                        <w:r w:rsidRPr="006D60DE">
                          <w:rPr>
                            <w:rFonts w:eastAsia="Times New Roman" w:cs="Tahoma"/>
                            <w:sz w:val="18"/>
                            <w:szCs w:val="18"/>
                            <w:lang w:val="el-GR"/>
                          </w:rPr>
                          <w:t xml:space="preserve">: +30 2310 334 639 </w:t>
                        </w:r>
                      </w:p>
                      <w:p w14:paraId="20AE53ED" w14:textId="77777777" w:rsidR="00E43A31" w:rsidRPr="006D60DE" w:rsidRDefault="00E43A31" w:rsidP="00E43A31">
                        <w:pPr>
                          <w:spacing w:after="0" w:line="240" w:lineRule="auto"/>
                          <w:rPr>
                            <w:rFonts w:cs="Tahoma"/>
                            <w:i/>
                            <w:iCs/>
                            <w:sz w:val="28"/>
                            <w:szCs w:val="28"/>
                            <w:lang w:val="el-GR"/>
                          </w:rPr>
                        </w:pPr>
                        <w:r w:rsidRPr="006D60DE">
                          <w:rPr>
                            <w:rFonts w:eastAsia="Times New Roman" w:cs="Tahoma"/>
                            <w:i/>
                            <w:iCs/>
                            <w:sz w:val="18"/>
                            <w:szCs w:val="18"/>
                          </w:rPr>
                          <w:t>www</w:t>
                        </w:r>
                        <w:r w:rsidRPr="006D60DE">
                          <w:rPr>
                            <w:rFonts w:eastAsia="Times New Roman" w:cs="Tahoma"/>
                            <w:i/>
                            <w:iCs/>
                            <w:sz w:val="18"/>
                            <w:szCs w:val="18"/>
                            <w:lang w:val="el-GR"/>
                          </w:rPr>
                          <w:t>.</w:t>
                        </w:r>
                        <w:r w:rsidRPr="006D60DE">
                          <w:rPr>
                            <w:rFonts w:eastAsia="Times New Roman" w:cs="Tahoma"/>
                            <w:i/>
                            <w:iCs/>
                            <w:sz w:val="18"/>
                            <w:szCs w:val="18"/>
                          </w:rPr>
                          <w:t>entersoftone</w:t>
                        </w:r>
                        <w:r w:rsidRPr="006D60DE">
                          <w:rPr>
                            <w:rFonts w:eastAsia="Times New Roman" w:cs="Tahoma"/>
                            <w:i/>
                            <w:iCs/>
                            <w:sz w:val="18"/>
                            <w:szCs w:val="18"/>
                            <w:lang w:val="el-GR"/>
                          </w:rPr>
                          <w:t>.</w:t>
                        </w:r>
                        <w:r w:rsidRPr="006D60DE">
                          <w:rPr>
                            <w:rFonts w:eastAsia="Times New Roman" w:cs="Tahoma"/>
                            <w:i/>
                            <w:iCs/>
                            <w:sz w:val="18"/>
                            <w:szCs w:val="18"/>
                          </w:rPr>
                          <w:t>gr</w:t>
                        </w:r>
                        <w:r w:rsidRPr="006D60DE">
                          <w:rPr>
                            <w:rFonts w:eastAsia="Times New Roman" w:cs="Tahoma"/>
                            <w:i/>
                            <w:iCs/>
                            <w:sz w:val="18"/>
                            <w:szCs w:val="18"/>
                            <w:lang w:val="el-GR"/>
                          </w:rPr>
                          <w:t xml:space="preserve"> | </w:t>
                        </w:r>
                        <w:r w:rsidRPr="006D60DE">
                          <w:rPr>
                            <w:rFonts w:eastAsia="Times New Roman" w:cs="Tahoma"/>
                            <w:i/>
                            <w:iCs/>
                            <w:sz w:val="18"/>
                            <w:szCs w:val="18"/>
                          </w:rPr>
                          <w:t>info</w:t>
                        </w:r>
                        <w:r w:rsidRPr="006D60DE">
                          <w:rPr>
                            <w:rFonts w:eastAsia="Times New Roman" w:cs="Tahoma"/>
                            <w:i/>
                            <w:iCs/>
                            <w:sz w:val="18"/>
                            <w:szCs w:val="18"/>
                            <w:lang w:val="el-GR"/>
                          </w:rPr>
                          <w:t>@</w:t>
                        </w:r>
                        <w:r w:rsidRPr="006D60DE">
                          <w:rPr>
                            <w:rFonts w:eastAsia="Times New Roman" w:cs="Tahoma"/>
                            <w:i/>
                            <w:iCs/>
                            <w:sz w:val="18"/>
                            <w:szCs w:val="18"/>
                          </w:rPr>
                          <w:t>entersoftone</w:t>
                        </w:r>
                        <w:r w:rsidRPr="006D60DE">
                          <w:rPr>
                            <w:rFonts w:eastAsia="Times New Roman" w:cs="Tahoma"/>
                            <w:i/>
                            <w:iCs/>
                            <w:sz w:val="18"/>
                            <w:szCs w:val="18"/>
                            <w:lang w:val="el-GR"/>
                          </w:rPr>
                          <w:t>.</w:t>
                        </w:r>
                        <w:r w:rsidRPr="006D60DE">
                          <w:rPr>
                            <w:rFonts w:eastAsia="Times New Roman" w:cs="Tahoma"/>
                            <w:i/>
                            <w:iCs/>
                            <w:sz w:val="18"/>
                            <w:szCs w:val="18"/>
                          </w:rPr>
                          <w:t>gr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4313E56" wp14:editId="40312855">
                  <wp:simplePos x="0" y="0"/>
                  <wp:positionH relativeFrom="column">
                    <wp:posOffset>407773</wp:posOffset>
                  </wp:positionH>
                  <wp:positionV relativeFrom="paragraph">
                    <wp:posOffset>73042</wp:posOffset>
                  </wp:positionV>
                  <wp:extent cx="6285470" cy="0"/>
                  <wp:effectExtent l="0" t="0" r="0" b="0"/>
                  <wp:wrapNone/>
                  <wp:docPr id="1372732725" name="Straight Connector 2"/>
                  <wp:cNvGraphicFramePr/>
                  <a:graphic xmlns:a="http://schemas.openxmlformats.org/drawingml/2006/main">
                    <a:graphicData uri="http://schemas.microsoft.com/office/word/2010/wordprocessingShape">
                      <wps:wsp>
                        <wps:cNvCnPr/>
                        <wps:spPr>
                          <a:xfrm>
                            <a:off x="0" y="0"/>
                            <a:ext cx="6285470" cy="0"/>
                          </a:xfrm>
                          <a:prstGeom prst="line">
                            <a:avLst/>
                          </a:prstGeom>
                          <a:ln w="12700">
                            <a:solidFill>
                              <a:srgbClr val="005DE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6A8A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5.75pt" to="5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" strokecolor="#005de4" strokeweight="1pt">
                  <v:stroke joinstyle="miter"/>
                </v:line>
              </w:pict>
            </mc:Fallback>
          </mc:AlternateContent>
        </w:r>
      </w:p>
    </w:sdtContent>
  </w:sdt>
  <w:p w14:paraId="5A26EB30" w14:textId="063F50BB" w:rsidR="00171B38" w:rsidRDefault="0017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7027" w14:textId="77777777" w:rsidR="006C531D" w:rsidRDefault="006C531D" w:rsidP="00171B38">
      <w:pPr>
        <w:spacing w:after="0" w:line="240" w:lineRule="auto"/>
      </w:pPr>
      <w:r>
        <w:separator/>
      </w:r>
    </w:p>
  </w:footnote>
  <w:footnote w:type="continuationSeparator" w:id="0">
    <w:p w14:paraId="30CFCF29" w14:textId="77777777" w:rsidR="006C531D" w:rsidRDefault="006C531D" w:rsidP="0017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7E66" w14:textId="77777777" w:rsidR="00C460D0" w:rsidRDefault="00C460D0" w:rsidP="00C460D0">
    <w:pPr>
      <w:pStyle w:val="Header"/>
      <w:jc w:val="right"/>
    </w:pPr>
  </w:p>
  <w:p w14:paraId="47E6595D" w14:textId="738FCE12" w:rsidR="00C460D0" w:rsidRDefault="00C460D0" w:rsidP="00C460D0">
    <w:pPr>
      <w:pStyle w:val="Header"/>
      <w:jc w:val="right"/>
    </w:pPr>
    <w:r>
      <w:rPr>
        <w:noProof/>
      </w:rPr>
      <w:drawing>
        <wp:inline distT="0" distB="0" distL="0" distR="0" wp14:anchorId="38D75507" wp14:editId="37E5BF71">
          <wp:extent cx="1692231" cy="187690"/>
          <wp:effectExtent l="0" t="0" r="3810" b="3175"/>
          <wp:docPr id="1259642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42187" name="Graphic 398942187"/>
                  <pic:cNvPicPr/>
                </pic:nvPicPr>
                <pic:blipFill>
                  <a:blip r:embed="rId1">
                    <a:extLst>
                      <a:ext uri="{96DAC541-7B7A-43D3-8B79-37D633B846F1}">
                        <asvg:svgBlip xmlns:asvg="http://schemas.microsoft.com/office/drawing/2016/SVG/main" r:embed="rId2"/>
                      </a:ext>
                    </a:extLst>
                  </a:blip>
                  <a:stretch>
                    <a:fillRect/>
                  </a:stretch>
                </pic:blipFill>
                <pic:spPr>
                  <a:xfrm>
                    <a:off x="0" y="0"/>
                    <a:ext cx="1762513" cy="195485"/>
                  </a:xfrm>
                  <a:prstGeom prst="rect">
                    <a:avLst/>
                  </a:prstGeom>
                </pic:spPr>
              </pic:pic>
            </a:graphicData>
          </a:graphic>
        </wp:inline>
      </w:drawing>
    </w:r>
  </w:p>
  <w:p w14:paraId="63273E59" w14:textId="77777777" w:rsidR="00C460D0" w:rsidRPr="00C460D0" w:rsidRDefault="00C460D0" w:rsidP="00C460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FC2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86F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ACA0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6282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A30C2D"/>
    <w:multiLevelType w:val="hybridMultilevel"/>
    <w:tmpl w:val="B6383364"/>
    <w:lvl w:ilvl="0" w:tplc="04090013">
      <w:start w:val="1"/>
      <w:numFmt w:val="upp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379062D"/>
    <w:multiLevelType w:val="hybridMultilevel"/>
    <w:tmpl w:val="909676D0"/>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2637543D"/>
    <w:multiLevelType w:val="hybridMultilevel"/>
    <w:tmpl w:val="903A691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6BD57EC"/>
    <w:multiLevelType w:val="hybridMultilevel"/>
    <w:tmpl w:val="773809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B8D25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A007DA"/>
    <w:multiLevelType w:val="hybridMultilevel"/>
    <w:tmpl w:val="A436258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EF24800"/>
    <w:multiLevelType w:val="hybridMultilevel"/>
    <w:tmpl w:val="BAC22B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0265E44"/>
    <w:multiLevelType w:val="hybridMultilevel"/>
    <w:tmpl w:val="39FCE402"/>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43863316"/>
    <w:multiLevelType w:val="hybridMultilevel"/>
    <w:tmpl w:val="1BFCE5D6"/>
    <w:lvl w:ilvl="0" w:tplc="04080005">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3" w15:restartNumberingAfterBreak="0">
    <w:nsid w:val="44633AC2"/>
    <w:multiLevelType w:val="hybridMultilevel"/>
    <w:tmpl w:val="C6CC2ABA"/>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4C121AE2"/>
    <w:multiLevelType w:val="hybridMultilevel"/>
    <w:tmpl w:val="016AAA04"/>
    <w:lvl w:ilvl="0" w:tplc="03F420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80AA3"/>
    <w:multiLevelType w:val="hybridMultilevel"/>
    <w:tmpl w:val="70C6D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742EE0"/>
    <w:multiLevelType w:val="hybridMultilevel"/>
    <w:tmpl w:val="E5E2AC86"/>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5A6E655F"/>
    <w:multiLevelType w:val="hybridMultilevel"/>
    <w:tmpl w:val="88DA7420"/>
    <w:lvl w:ilvl="0" w:tplc="9146D672">
      <w:start w:val="1"/>
      <w:numFmt w:val="decimal"/>
      <w:lvlText w:val="%1."/>
      <w:lvlJc w:val="left"/>
      <w:pPr>
        <w:ind w:left="720" w:hanging="360"/>
      </w:pPr>
      <w:rPr>
        <w:rFonts w:hint="default"/>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C54A3"/>
    <w:multiLevelType w:val="hybridMultilevel"/>
    <w:tmpl w:val="4E3EFC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3B72812"/>
    <w:multiLevelType w:val="hybridMultilevel"/>
    <w:tmpl w:val="DF3200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68A11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914CBF"/>
    <w:multiLevelType w:val="hybridMultilevel"/>
    <w:tmpl w:val="2778906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6D39797A"/>
    <w:multiLevelType w:val="hybridMultilevel"/>
    <w:tmpl w:val="26981BE6"/>
    <w:lvl w:ilvl="0" w:tplc="04090013">
      <w:start w:val="1"/>
      <w:numFmt w:val="upp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6FC234E7"/>
    <w:multiLevelType w:val="hybridMultilevel"/>
    <w:tmpl w:val="95E60076"/>
    <w:lvl w:ilvl="0" w:tplc="04080001">
      <w:start w:val="1"/>
      <w:numFmt w:val="bullet"/>
      <w:lvlText w:val=""/>
      <w:lvlJc w:val="left"/>
      <w:pPr>
        <w:ind w:left="2160" w:hanging="360"/>
      </w:pPr>
      <w:rPr>
        <w:rFonts w:ascii="Symbol" w:hAnsi="Symbol"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6FDB0200"/>
    <w:multiLevelType w:val="hybridMultilevel"/>
    <w:tmpl w:val="6B0C0C42"/>
    <w:lvl w:ilvl="0" w:tplc="04090003">
      <w:start w:val="1"/>
      <w:numFmt w:val="bullet"/>
      <w:lvlText w:val="o"/>
      <w:lvlJc w:val="left"/>
      <w:pPr>
        <w:ind w:left="1647" w:hanging="360"/>
      </w:pPr>
      <w:rPr>
        <w:rFonts w:ascii="Courier New" w:hAnsi="Courier New" w:cs="Courier New"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5" w15:restartNumberingAfterBreak="0">
    <w:nsid w:val="79B08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B8736FD"/>
    <w:multiLevelType w:val="hybridMultilevel"/>
    <w:tmpl w:val="4170BB92"/>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7C730DB4"/>
    <w:multiLevelType w:val="hybridMultilevel"/>
    <w:tmpl w:val="D3503F5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7CC93C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D434D1F"/>
    <w:multiLevelType w:val="hybridMultilevel"/>
    <w:tmpl w:val="AA3E918E"/>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451588654">
    <w:abstractNumId w:val="17"/>
  </w:num>
  <w:num w:numId="2" w16cid:durableId="1562131642">
    <w:abstractNumId w:val="6"/>
  </w:num>
  <w:num w:numId="3" w16cid:durableId="963849391">
    <w:abstractNumId w:val="23"/>
  </w:num>
  <w:num w:numId="4" w16cid:durableId="477768104">
    <w:abstractNumId w:val="5"/>
  </w:num>
  <w:num w:numId="5" w16cid:durableId="1824658928">
    <w:abstractNumId w:val="9"/>
  </w:num>
  <w:num w:numId="6" w16cid:durableId="1304113840">
    <w:abstractNumId w:val="14"/>
  </w:num>
  <w:num w:numId="7" w16cid:durableId="1151410209">
    <w:abstractNumId w:val="16"/>
  </w:num>
  <w:num w:numId="8" w16cid:durableId="1430661431">
    <w:abstractNumId w:val="13"/>
  </w:num>
  <w:num w:numId="9" w16cid:durableId="1937596437">
    <w:abstractNumId w:val="29"/>
  </w:num>
  <w:num w:numId="10" w16cid:durableId="1174539210">
    <w:abstractNumId w:val="19"/>
  </w:num>
  <w:num w:numId="11" w16cid:durableId="625045874">
    <w:abstractNumId w:val="27"/>
  </w:num>
  <w:num w:numId="12" w16cid:durableId="1268121740">
    <w:abstractNumId w:val="26"/>
  </w:num>
  <w:num w:numId="13" w16cid:durableId="128209494">
    <w:abstractNumId w:val="22"/>
  </w:num>
  <w:num w:numId="14" w16cid:durableId="2094086268">
    <w:abstractNumId w:val="4"/>
  </w:num>
  <w:num w:numId="15" w16cid:durableId="144931229">
    <w:abstractNumId w:val="15"/>
  </w:num>
  <w:num w:numId="16" w16cid:durableId="412238183">
    <w:abstractNumId w:val="18"/>
  </w:num>
  <w:num w:numId="17" w16cid:durableId="699865658">
    <w:abstractNumId w:val="1"/>
  </w:num>
  <w:num w:numId="18" w16cid:durableId="823351906">
    <w:abstractNumId w:val="20"/>
  </w:num>
  <w:num w:numId="19" w16cid:durableId="935362295">
    <w:abstractNumId w:val="7"/>
  </w:num>
  <w:num w:numId="20" w16cid:durableId="632756829">
    <w:abstractNumId w:val="11"/>
  </w:num>
  <w:num w:numId="21" w16cid:durableId="2030831283">
    <w:abstractNumId w:val="24"/>
  </w:num>
  <w:num w:numId="22" w16cid:durableId="1367633022">
    <w:abstractNumId w:val="0"/>
  </w:num>
  <w:num w:numId="23" w16cid:durableId="1278566166">
    <w:abstractNumId w:val="3"/>
  </w:num>
  <w:num w:numId="24" w16cid:durableId="1324745813">
    <w:abstractNumId w:val="28"/>
  </w:num>
  <w:num w:numId="25" w16cid:durableId="429394438">
    <w:abstractNumId w:val="12"/>
  </w:num>
  <w:num w:numId="26" w16cid:durableId="1671714936">
    <w:abstractNumId w:val="10"/>
  </w:num>
  <w:num w:numId="27" w16cid:durableId="1361777227">
    <w:abstractNumId w:val="25"/>
  </w:num>
  <w:num w:numId="28" w16cid:durableId="1884832331">
    <w:abstractNumId w:val="21"/>
  </w:num>
  <w:num w:numId="29" w16cid:durableId="1974872097">
    <w:abstractNumId w:val="2"/>
  </w:num>
  <w:num w:numId="30" w16cid:durableId="159404859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17"/>
    <w:rsid w:val="0000231B"/>
    <w:rsid w:val="000024A2"/>
    <w:rsid w:val="00003696"/>
    <w:rsid w:val="000067F0"/>
    <w:rsid w:val="00016293"/>
    <w:rsid w:val="0001632B"/>
    <w:rsid w:val="0002309D"/>
    <w:rsid w:val="0002446B"/>
    <w:rsid w:val="00024E8A"/>
    <w:rsid w:val="00025BB3"/>
    <w:rsid w:val="00031343"/>
    <w:rsid w:val="00031B7E"/>
    <w:rsid w:val="00035C8C"/>
    <w:rsid w:val="00036853"/>
    <w:rsid w:val="000405D9"/>
    <w:rsid w:val="000444F7"/>
    <w:rsid w:val="00045C5B"/>
    <w:rsid w:val="00054DAF"/>
    <w:rsid w:val="0005594F"/>
    <w:rsid w:val="00055CA0"/>
    <w:rsid w:val="0006251C"/>
    <w:rsid w:val="000639A7"/>
    <w:rsid w:val="00064267"/>
    <w:rsid w:val="00070834"/>
    <w:rsid w:val="00071B42"/>
    <w:rsid w:val="00072D5C"/>
    <w:rsid w:val="00073DAE"/>
    <w:rsid w:val="0007548E"/>
    <w:rsid w:val="00083EA6"/>
    <w:rsid w:val="00087143"/>
    <w:rsid w:val="0008732D"/>
    <w:rsid w:val="00087BA8"/>
    <w:rsid w:val="00090903"/>
    <w:rsid w:val="000920BD"/>
    <w:rsid w:val="000948B8"/>
    <w:rsid w:val="00095BA2"/>
    <w:rsid w:val="00095DC6"/>
    <w:rsid w:val="0009642F"/>
    <w:rsid w:val="000965E4"/>
    <w:rsid w:val="0009711B"/>
    <w:rsid w:val="000B0412"/>
    <w:rsid w:val="000B08AD"/>
    <w:rsid w:val="000B1687"/>
    <w:rsid w:val="000B3D12"/>
    <w:rsid w:val="000B4884"/>
    <w:rsid w:val="000B62D6"/>
    <w:rsid w:val="000C0C5B"/>
    <w:rsid w:val="000C0EFD"/>
    <w:rsid w:val="000C3D76"/>
    <w:rsid w:val="000C6B37"/>
    <w:rsid w:val="000D0F82"/>
    <w:rsid w:val="000D100E"/>
    <w:rsid w:val="000D1BA5"/>
    <w:rsid w:val="000E18F1"/>
    <w:rsid w:val="000E45F6"/>
    <w:rsid w:val="000F1917"/>
    <w:rsid w:val="000F24E7"/>
    <w:rsid w:val="000F39F7"/>
    <w:rsid w:val="00100D1A"/>
    <w:rsid w:val="00101D98"/>
    <w:rsid w:val="00102133"/>
    <w:rsid w:val="001102C3"/>
    <w:rsid w:val="00111FFE"/>
    <w:rsid w:val="0012118D"/>
    <w:rsid w:val="00130E8B"/>
    <w:rsid w:val="00131CE5"/>
    <w:rsid w:val="0014008C"/>
    <w:rsid w:val="00141DDE"/>
    <w:rsid w:val="00142275"/>
    <w:rsid w:val="0014373E"/>
    <w:rsid w:val="0014766D"/>
    <w:rsid w:val="00152F0A"/>
    <w:rsid w:val="0015403A"/>
    <w:rsid w:val="00155691"/>
    <w:rsid w:val="001575F5"/>
    <w:rsid w:val="00160DEE"/>
    <w:rsid w:val="001665C2"/>
    <w:rsid w:val="00166FDF"/>
    <w:rsid w:val="00170F42"/>
    <w:rsid w:val="001716DE"/>
    <w:rsid w:val="00171B38"/>
    <w:rsid w:val="00175AF3"/>
    <w:rsid w:val="00177BEB"/>
    <w:rsid w:val="0018176D"/>
    <w:rsid w:val="00182DC5"/>
    <w:rsid w:val="00183161"/>
    <w:rsid w:val="00183A5D"/>
    <w:rsid w:val="00191F83"/>
    <w:rsid w:val="0019576E"/>
    <w:rsid w:val="00196E18"/>
    <w:rsid w:val="001A2692"/>
    <w:rsid w:val="001A4393"/>
    <w:rsid w:val="001B1775"/>
    <w:rsid w:val="001B2D00"/>
    <w:rsid w:val="001B2F53"/>
    <w:rsid w:val="001B5D91"/>
    <w:rsid w:val="001D5A65"/>
    <w:rsid w:val="001D6411"/>
    <w:rsid w:val="001E1E53"/>
    <w:rsid w:val="001E1ED2"/>
    <w:rsid w:val="001E38CA"/>
    <w:rsid w:val="001E4A00"/>
    <w:rsid w:val="001E64B1"/>
    <w:rsid w:val="001F03C1"/>
    <w:rsid w:val="001F07BB"/>
    <w:rsid w:val="001F57EE"/>
    <w:rsid w:val="001F5895"/>
    <w:rsid w:val="001F7450"/>
    <w:rsid w:val="0020070A"/>
    <w:rsid w:val="00202CAF"/>
    <w:rsid w:val="002110A7"/>
    <w:rsid w:val="002114FC"/>
    <w:rsid w:val="002123F0"/>
    <w:rsid w:val="0021249A"/>
    <w:rsid w:val="00215733"/>
    <w:rsid w:val="002179A1"/>
    <w:rsid w:val="00221C11"/>
    <w:rsid w:val="00222EF3"/>
    <w:rsid w:val="00223608"/>
    <w:rsid w:val="00224228"/>
    <w:rsid w:val="00224B94"/>
    <w:rsid w:val="002259E3"/>
    <w:rsid w:val="00226A26"/>
    <w:rsid w:val="00242171"/>
    <w:rsid w:val="0025028F"/>
    <w:rsid w:val="00251D26"/>
    <w:rsid w:val="00252D3D"/>
    <w:rsid w:val="002570A9"/>
    <w:rsid w:val="00261A24"/>
    <w:rsid w:val="002641F7"/>
    <w:rsid w:val="00265471"/>
    <w:rsid w:val="00276536"/>
    <w:rsid w:val="00277270"/>
    <w:rsid w:val="00281094"/>
    <w:rsid w:val="0028186D"/>
    <w:rsid w:val="002870CC"/>
    <w:rsid w:val="002A1D6E"/>
    <w:rsid w:val="002A5DEC"/>
    <w:rsid w:val="002B03FF"/>
    <w:rsid w:val="002B2BDE"/>
    <w:rsid w:val="002B6C0A"/>
    <w:rsid w:val="002C2195"/>
    <w:rsid w:val="002C4787"/>
    <w:rsid w:val="002D11EA"/>
    <w:rsid w:val="002D6FD5"/>
    <w:rsid w:val="002E0135"/>
    <w:rsid w:val="002E42F8"/>
    <w:rsid w:val="002E7B9E"/>
    <w:rsid w:val="002F01F9"/>
    <w:rsid w:val="002F27F3"/>
    <w:rsid w:val="002F4F8E"/>
    <w:rsid w:val="003043BB"/>
    <w:rsid w:val="003066B9"/>
    <w:rsid w:val="0030699F"/>
    <w:rsid w:val="00312111"/>
    <w:rsid w:val="00315690"/>
    <w:rsid w:val="00316D41"/>
    <w:rsid w:val="00320801"/>
    <w:rsid w:val="003210CB"/>
    <w:rsid w:val="00322012"/>
    <w:rsid w:val="00326AF0"/>
    <w:rsid w:val="00335A34"/>
    <w:rsid w:val="00340377"/>
    <w:rsid w:val="00340E59"/>
    <w:rsid w:val="0034172F"/>
    <w:rsid w:val="00342319"/>
    <w:rsid w:val="00344212"/>
    <w:rsid w:val="0034617A"/>
    <w:rsid w:val="003461BE"/>
    <w:rsid w:val="003467FC"/>
    <w:rsid w:val="00350257"/>
    <w:rsid w:val="003515F9"/>
    <w:rsid w:val="00352D93"/>
    <w:rsid w:val="00352DFF"/>
    <w:rsid w:val="00353A7C"/>
    <w:rsid w:val="003562F8"/>
    <w:rsid w:val="00356AAE"/>
    <w:rsid w:val="00357F6F"/>
    <w:rsid w:val="00361695"/>
    <w:rsid w:val="00366231"/>
    <w:rsid w:val="003719BE"/>
    <w:rsid w:val="00374204"/>
    <w:rsid w:val="003859BE"/>
    <w:rsid w:val="0039000A"/>
    <w:rsid w:val="00390BE2"/>
    <w:rsid w:val="003A2370"/>
    <w:rsid w:val="003A7C55"/>
    <w:rsid w:val="003B05FA"/>
    <w:rsid w:val="003B3A38"/>
    <w:rsid w:val="003B677C"/>
    <w:rsid w:val="003C1CFB"/>
    <w:rsid w:val="003C4244"/>
    <w:rsid w:val="003C601E"/>
    <w:rsid w:val="003D09FE"/>
    <w:rsid w:val="003D15B2"/>
    <w:rsid w:val="003D4D20"/>
    <w:rsid w:val="003D5A8E"/>
    <w:rsid w:val="003E248C"/>
    <w:rsid w:val="003E41D7"/>
    <w:rsid w:val="003F0E2A"/>
    <w:rsid w:val="003F10CA"/>
    <w:rsid w:val="003F2CE0"/>
    <w:rsid w:val="003F3285"/>
    <w:rsid w:val="003F6888"/>
    <w:rsid w:val="003F74E0"/>
    <w:rsid w:val="00401BB6"/>
    <w:rsid w:val="00404E22"/>
    <w:rsid w:val="00405178"/>
    <w:rsid w:val="0040546B"/>
    <w:rsid w:val="00407928"/>
    <w:rsid w:val="00413348"/>
    <w:rsid w:val="004220E5"/>
    <w:rsid w:val="00423080"/>
    <w:rsid w:val="00424243"/>
    <w:rsid w:val="00425E19"/>
    <w:rsid w:val="004264C4"/>
    <w:rsid w:val="00426941"/>
    <w:rsid w:val="0043494F"/>
    <w:rsid w:val="0044273F"/>
    <w:rsid w:val="0044397C"/>
    <w:rsid w:val="0044495E"/>
    <w:rsid w:val="00447236"/>
    <w:rsid w:val="00447ACB"/>
    <w:rsid w:val="00451D50"/>
    <w:rsid w:val="00454781"/>
    <w:rsid w:val="00461448"/>
    <w:rsid w:val="0046269C"/>
    <w:rsid w:val="004657D2"/>
    <w:rsid w:val="00470172"/>
    <w:rsid w:val="004725FF"/>
    <w:rsid w:val="00472D98"/>
    <w:rsid w:val="00473885"/>
    <w:rsid w:val="00476F4A"/>
    <w:rsid w:val="00481298"/>
    <w:rsid w:val="00495685"/>
    <w:rsid w:val="004A1B98"/>
    <w:rsid w:val="004A3F4D"/>
    <w:rsid w:val="004B37FE"/>
    <w:rsid w:val="004C1DF1"/>
    <w:rsid w:val="004C1F5A"/>
    <w:rsid w:val="004C7CD3"/>
    <w:rsid w:val="004C7FB4"/>
    <w:rsid w:val="004D0080"/>
    <w:rsid w:val="004D0389"/>
    <w:rsid w:val="004D123E"/>
    <w:rsid w:val="004D3390"/>
    <w:rsid w:val="004D4CFF"/>
    <w:rsid w:val="004D7104"/>
    <w:rsid w:val="004E1318"/>
    <w:rsid w:val="004E1A04"/>
    <w:rsid w:val="004E215B"/>
    <w:rsid w:val="004E5399"/>
    <w:rsid w:val="004E6A93"/>
    <w:rsid w:val="004E7BBE"/>
    <w:rsid w:val="004E7F75"/>
    <w:rsid w:val="004F1671"/>
    <w:rsid w:val="004F57DB"/>
    <w:rsid w:val="004F5BC7"/>
    <w:rsid w:val="004F7537"/>
    <w:rsid w:val="00505648"/>
    <w:rsid w:val="005057BA"/>
    <w:rsid w:val="00507E36"/>
    <w:rsid w:val="005102D1"/>
    <w:rsid w:val="00515937"/>
    <w:rsid w:val="00517C1A"/>
    <w:rsid w:val="00522916"/>
    <w:rsid w:val="00523095"/>
    <w:rsid w:val="00523809"/>
    <w:rsid w:val="00527DC9"/>
    <w:rsid w:val="00532D5E"/>
    <w:rsid w:val="00534929"/>
    <w:rsid w:val="0053638E"/>
    <w:rsid w:val="00540001"/>
    <w:rsid w:val="00547ADC"/>
    <w:rsid w:val="005518DB"/>
    <w:rsid w:val="00553989"/>
    <w:rsid w:val="00554D83"/>
    <w:rsid w:val="00556C29"/>
    <w:rsid w:val="00560B2C"/>
    <w:rsid w:val="00563A5D"/>
    <w:rsid w:val="0056704C"/>
    <w:rsid w:val="00575994"/>
    <w:rsid w:val="00577DC0"/>
    <w:rsid w:val="00580845"/>
    <w:rsid w:val="00583712"/>
    <w:rsid w:val="0058460D"/>
    <w:rsid w:val="00585CCC"/>
    <w:rsid w:val="00590150"/>
    <w:rsid w:val="00595204"/>
    <w:rsid w:val="005956DB"/>
    <w:rsid w:val="00597D5C"/>
    <w:rsid w:val="005A617C"/>
    <w:rsid w:val="005B0DC1"/>
    <w:rsid w:val="005B677A"/>
    <w:rsid w:val="005B7D21"/>
    <w:rsid w:val="005C0117"/>
    <w:rsid w:val="005C42BE"/>
    <w:rsid w:val="005C522D"/>
    <w:rsid w:val="005C60B6"/>
    <w:rsid w:val="005D1A65"/>
    <w:rsid w:val="005D2021"/>
    <w:rsid w:val="005D230B"/>
    <w:rsid w:val="005D2E2A"/>
    <w:rsid w:val="005D314A"/>
    <w:rsid w:val="005D70FD"/>
    <w:rsid w:val="005E70E8"/>
    <w:rsid w:val="005F5E7A"/>
    <w:rsid w:val="005F76BB"/>
    <w:rsid w:val="00602BF4"/>
    <w:rsid w:val="0060764C"/>
    <w:rsid w:val="00610143"/>
    <w:rsid w:val="0061283B"/>
    <w:rsid w:val="0061526D"/>
    <w:rsid w:val="00620763"/>
    <w:rsid w:val="00621C3A"/>
    <w:rsid w:val="00625115"/>
    <w:rsid w:val="00631241"/>
    <w:rsid w:val="006319E6"/>
    <w:rsid w:val="006322AA"/>
    <w:rsid w:val="00632309"/>
    <w:rsid w:val="0063491D"/>
    <w:rsid w:val="00634ADB"/>
    <w:rsid w:val="00637002"/>
    <w:rsid w:val="00637AD8"/>
    <w:rsid w:val="006438CE"/>
    <w:rsid w:val="00643FC1"/>
    <w:rsid w:val="00644DC7"/>
    <w:rsid w:val="00654C6A"/>
    <w:rsid w:val="00655FB9"/>
    <w:rsid w:val="00657790"/>
    <w:rsid w:val="00661CB3"/>
    <w:rsid w:val="00663328"/>
    <w:rsid w:val="00663D50"/>
    <w:rsid w:val="00667E1D"/>
    <w:rsid w:val="0067579C"/>
    <w:rsid w:val="00676595"/>
    <w:rsid w:val="00681F60"/>
    <w:rsid w:val="00682028"/>
    <w:rsid w:val="00691175"/>
    <w:rsid w:val="006911A5"/>
    <w:rsid w:val="0069272D"/>
    <w:rsid w:val="00692DAE"/>
    <w:rsid w:val="00694598"/>
    <w:rsid w:val="00697A91"/>
    <w:rsid w:val="006A0294"/>
    <w:rsid w:val="006A20D4"/>
    <w:rsid w:val="006A2AA6"/>
    <w:rsid w:val="006A2D5F"/>
    <w:rsid w:val="006A3FB0"/>
    <w:rsid w:val="006A58AD"/>
    <w:rsid w:val="006A62D7"/>
    <w:rsid w:val="006B2089"/>
    <w:rsid w:val="006B2B9D"/>
    <w:rsid w:val="006B30E2"/>
    <w:rsid w:val="006B5416"/>
    <w:rsid w:val="006B7357"/>
    <w:rsid w:val="006C0DBB"/>
    <w:rsid w:val="006C30DB"/>
    <w:rsid w:val="006C4D0E"/>
    <w:rsid w:val="006C4D1E"/>
    <w:rsid w:val="006C531D"/>
    <w:rsid w:val="006C653B"/>
    <w:rsid w:val="006D5D46"/>
    <w:rsid w:val="006E01BC"/>
    <w:rsid w:val="006E1A66"/>
    <w:rsid w:val="006E4F6A"/>
    <w:rsid w:val="006E5F42"/>
    <w:rsid w:val="006E6586"/>
    <w:rsid w:val="006F0A2E"/>
    <w:rsid w:val="006F20D9"/>
    <w:rsid w:val="006F2F33"/>
    <w:rsid w:val="006F66CF"/>
    <w:rsid w:val="0070194F"/>
    <w:rsid w:val="00702D8A"/>
    <w:rsid w:val="0070534A"/>
    <w:rsid w:val="00710861"/>
    <w:rsid w:val="00726072"/>
    <w:rsid w:val="00727AEB"/>
    <w:rsid w:val="0073141E"/>
    <w:rsid w:val="00731E7B"/>
    <w:rsid w:val="007375B9"/>
    <w:rsid w:val="00746B20"/>
    <w:rsid w:val="00750E15"/>
    <w:rsid w:val="00751017"/>
    <w:rsid w:val="0075412F"/>
    <w:rsid w:val="00755CD7"/>
    <w:rsid w:val="00757FC0"/>
    <w:rsid w:val="007650D3"/>
    <w:rsid w:val="00770CE0"/>
    <w:rsid w:val="007726BC"/>
    <w:rsid w:val="00782255"/>
    <w:rsid w:val="0078229C"/>
    <w:rsid w:val="00784B84"/>
    <w:rsid w:val="00786B4C"/>
    <w:rsid w:val="00786E9A"/>
    <w:rsid w:val="00790749"/>
    <w:rsid w:val="007910CF"/>
    <w:rsid w:val="00793902"/>
    <w:rsid w:val="007956B3"/>
    <w:rsid w:val="007A25AF"/>
    <w:rsid w:val="007A3AF6"/>
    <w:rsid w:val="007A4B95"/>
    <w:rsid w:val="007A5711"/>
    <w:rsid w:val="007C0C80"/>
    <w:rsid w:val="007C32D5"/>
    <w:rsid w:val="007C41B2"/>
    <w:rsid w:val="007C662F"/>
    <w:rsid w:val="007D2C63"/>
    <w:rsid w:val="007D3E9D"/>
    <w:rsid w:val="007F145D"/>
    <w:rsid w:val="007F48A0"/>
    <w:rsid w:val="007F4CC2"/>
    <w:rsid w:val="007F5E60"/>
    <w:rsid w:val="00801F49"/>
    <w:rsid w:val="00803371"/>
    <w:rsid w:val="0080353C"/>
    <w:rsid w:val="00803F86"/>
    <w:rsid w:val="008068A9"/>
    <w:rsid w:val="0081151B"/>
    <w:rsid w:val="0081420A"/>
    <w:rsid w:val="00816002"/>
    <w:rsid w:val="008166A4"/>
    <w:rsid w:val="008169F1"/>
    <w:rsid w:val="00817074"/>
    <w:rsid w:val="00824929"/>
    <w:rsid w:val="00834A41"/>
    <w:rsid w:val="00834EA2"/>
    <w:rsid w:val="008368A4"/>
    <w:rsid w:val="00841DEF"/>
    <w:rsid w:val="00843BFD"/>
    <w:rsid w:val="0084464E"/>
    <w:rsid w:val="00844777"/>
    <w:rsid w:val="008505CD"/>
    <w:rsid w:val="00850785"/>
    <w:rsid w:val="00852E6C"/>
    <w:rsid w:val="00855759"/>
    <w:rsid w:val="008579AB"/>
    <w:rsid w:val="00861B46"/>
    <w:rsid w:val="008817EB"/>
    <w:rsid w:val="00884549"/>
    <w:rsid w:val="00886035"/>
    <w:rsid w:val="00886B9B"/>
    <w:rsid w:val="0089484A"/>
    <w:rsid w:val="008A65D3"/>
    <w:rsid w:val="008A7735"/>
    <w:rsid w:val="008B69A2"/>
    <w:rsid w:val="008B7681"/>
    <w:rsid w:val="008C0332"/>
    <w:rsid w:val="008C2345"/>
    <w:rsid w:val="008D03AF"/>
    <w:rsid w:val="008D0DBF"/>
    <w:rsid w:val="008D20E1"/>
    <w:rsid w:val="008D28C3"/>
    <w:rsid w:val="008D69FC"/>
    <w:rsid w:val="008D6CAC"/>
    <w:rsid w:val="008E7010"/>
    <w:rsid w:val="008E7F99"/>
    <w:rsid w:val="008F3627"/>
    <w:rsid w:val="008F4CCF"/>
    <w:rsid w:val="0090435F"/>
    <w:rsid w:val="00910A5D"/>
    <w:rsid w:val="00910D14"/>
    <w:rsid w:val="00920652"/>
    <w:rsid w:val="009229D7"/>
    <w:rsid w:val="00924636"/>
    <w:rsid w:val="009309C0"/>
    <w:rsid w:val="00931A06"/>
    <w:rsid w:val="00944E4A"/>
    <w:rsid w:val="009513B5"/>
    <w:rsid w:val="00951F36"/>
    <w:rsid w:val="00954D5D"/>
    <w:rsid w:val="0095721F"/>
    <w:rsid w:val="00960417"/>
    <w:rsid w:val="00964E4E"/>
    <w:rsid w:val="00966B76"/>
    <w:rsid w:val="00967BFC"/>
    <w:rsid w:val="00975506"/>
    <w:rsid w:val="009776FD"/>
    <w:rsid w:val="00977D93"/>
    <w:rsid w:val="00982FCB"/>
    <w:rsid w:val="00983F60"/>
    <w:rsid w:val="00986F8B"/>
    <w:rsid w:val="00987D64"/>
    <w:rsid w:val="00992147"/>
    <w:rsid w:val="00992F11"/>
    <w:rsid w:val="009931A6"/>
    <w:rsid w:val="009A41E7"/>
    <w:rsid w:val="009A440F"/>
    <w:rsid w:val="009A448A"/>
    <w:rsid w:val="009A4C52"/>
    <w:rsid w:val="009A76DD"/>
    <w:rsid w:val="009B51EF"/>
    <w:rsid w:val="009B624C"/>
    <w:rsid w:val="009C5746"/>
    <w:rsid w:val="009C7126"/>
    <w:rsid w:val="009C7AE2"/>
    <w:rsid w:val="009D1B2B"/>
    <w:rsid w:val="009E1CED"/>
    <w:rsid w:val="009F5019"/>
    <w:rsid w:val="009F5310"/>
    <w:rsid w:val="009F7EA9"/>
    <w:rsid w:val="00A06726"/>
    <w:rsid w:val="00A1586C"/>
    <w:rsid w:val="00A2011D"/>
    <w:rsid w:val="00A22786"/>
    <w:rsid w:val="00A24147"/>
    <w:rsid w:val="00A25681"/>
    <w:rsid w:val="00A27B31"/>
    <w:rsid w:val="00A33086"/>
    <w:rsid w:val="00A34246"/>
    <w:rsid w:val="00A364B4"/>
    <w:rsid w:val="00A44A9F"/>
    <w:rsid w:val="00A51835"/>
    <w:rsid w:val="00A52F2A"/>
    <w:rsid w:val="00A5427B"/>
    <w:rsid w:val="00A56866"/>
    <w:rsid w:val="00A61827"/>
    <w:rsid w:val="00A818F8"/>
    <w:rsid w:val="00A86C71"/>
    <w:rsid w:val="00A9140E"/>
    <w:rsid w:val="00A91E2D"/>
    <w:rsid w:val="00A92EB2"/>
    <w:rsid w:val="00A93EEE"/>
    <w:rsid w:val="00A965A4"/>
    <w:rsid w:val="00A96AF3"/>
    <w:rsid w:val="00AA0AB3"/>
    <w:rsid w:val="00AA6541"/>
    <w:rsid w:val="00AB2F99"/>
    <w:rsid w:val="00AB7737"/>
    <w:rsid w:val="00AB7D90"/>
    <w:rsid w:val="00AC34C2"/>
    <w:rsid w:val="00AC54F6"/>
    <w:rsid w:val="00AC55DB"/>
    <w:rsid w:val="00AD69F8"/>
    <w:rsid w:val="00AE0423"/>
    <w:rsid w:val="00AE208C"/>
    <w:rsid w:val="00AE285A"/>
    <w:rsid w:val="00AF22DA"/>
    <w:rsid w:val="00AF3FF0"/>
    <w:rsid w:val="00AF5C78"/>
    <w:rsid w:val="00AF6338"/>
    <w:rsid w:val="00B01403"/>
    <w:rsid w:val="00B02868"/>
    <w:rsid w:val="00B0517E"/>
    <w:rsid w:val="00B0614B"/>
    <w:rsid w:val="00B0672A"/>
    <w:rsid w:val="00B10D06"/>
    <w:rsid w:val="00B11714"/>
    <w:rsid w:val="00B11AB5"/>
    <w:rsid w:val="00B12DD9"/>
    <w:rsid w:val="00B13416"/>
    <w:rsid w:val="00B13E7D"/>
    <w:rsid w:val="00B1406C"/>
    <w:rsid w:val="00B15DAD"/>
    <w:rsid w:val="00B31D42"/>
    <w:rsid w:val="00B44699"/>
    <w:rsid w:val="00B45776"/>
    <w:rsid w:val="00B53FB4"/>
    <w:rsid w:val="00B5733E"/>
    <w:rsid w:val="00B6423B"/>
    <w:rsid w:val="00B64598"/>
    <w:rsid w:val="00B70F61"/>
    <w:rsid w:val="00B73435"/>
    <w:rsid w:val="00B73D26"/>
    <w:rsid w:val="00B7439A"/>
    <w:rsid w:val="00B755C0"/>
    <w:rsid w:val="00B76719"/>
    <w:rsid w:val="00B86AF2"/>
    <w:rsid w:val="00B91766"/>
    <w:rsid w:val="00B91D2B"/>
    <w:rsid w:val="00B92F86"/>
    <w:rsid w:val="00BA2452"/>
    <w:rsid w:val="00BA4713"/>
    <w:rsid w:val="00BA752D"/>
    <w:rsid w:val="00BB1125"/>
    <w:rsid w:val="00BB26B3"/>
    <w:rsid w:val="00BB279D"/>
    <w:rsid w:val="00BB6A1C"/>
    <w:rsid w:val="00BB7F16"/>
    <w:rsid w:val="00BC206C"/>
    <w:rsid w:val="00BC2699"/>
    <w:rsid w:val="00BC4831"/>
    <w:rsid w:val="00BC612B"/>
    <w:rsid w:val="00BD247C"/>
    <w:rsid w:val="00BD255C"/>
    <w:rsid w:val="00BD2694"/>
    <w:rsid w:val="00BD652A"/>
    <w:rsid w:val="00BD73F3"/>
    <w:rsid w:val="00BE1912"/>
    <w:rsid w:val="00BF03CD"/>
    <w:rsid w:val="00BF0451"/>
    <w:rsid w:val="00BF4191"/>
    <w:rsid w:val="00C00E56"/>
    <w:rsid w:val="00C03553"/>
    <w:rsid w:val="00C04BE0"/>
    <w:rsid w:val="00C052E3"/>
    <w:rsid w:val="00C05365"/>
    <w:rsid w:val="00C05D58"/>
    <w:rsid w:val="00C05EEC"/>
    <w:rsid w:val="00C11AE5"/>
    <w:rsid w:val="00C11CB9"/>
    <w:rsid w:val="00C16C31"/>
    <w:rsid w:val="00C16ED4"/>
    <w:rsid w:val="00C21027"/>
    <w:rsid w:val="00C226E4"/>
    <w:rsid w:val="00C4377D"/>
    <w:rsid w:val="00C460D0"/>
    <w:rsid w:val="00C51CAA"/>
    <w:rsid w:val="00C6056A"/>
    <w:rsid w:val="00C63366"/>
    <w:rsid w:val="00C81FFB"/>
    <w:rsid w:val="00C914AA"/>
    <w:rsid w:val="00C955F1"/>
    <w:rsid w:val="00C963EB"/>
    <w:rsid w:val="00CA11BF"/>
    <w:rsid w:val="00CA1A4D"/>
    <w:rsid w:val="00CA2468"/>
    <w:rsid w:val="00CA570B"/>
    <w:rsid w:val="00CA5A48"/>
    <w:rsid w:val="00CA63E9"/>
    <w:rsid w:val="00CB14C7"/>
    <w:rsid w:val="00CB2466"/>
    <w:rsid w:val="00CB2AD6"/>
    <w:rsid w:val="00CB2B74"/>
    <w:rsid w:val="00CB2E22"/>
    <w:rsid w:val="00CB47A4"/>
    <w:rsid w:val="00CD03B6"/>
    <w:rsid w:val="00CD10C2"/>
    <w:rsid w:val="00CD19A7"/>
    <w:rsid w:val="00CE142F"/>
    <w:rsid w:val="00CE1F68"/>
    <w:rsid w:val="00CF0C79"/>
    <w:rsid w:val="00CF252A"/>
    <w:rsid w:val="00CF594C"/>
    <w:rsid w:val="00D02DC5"/>
    <w:rsid w:val="00D062F3"/>
    <w:rsid w:val="00D065A3"/>
    <w:rsid w:val="00D1468B"/>
    <w:rsid w:val="00D172AE"/>
    <w:rsid w:val="00D20C4F"/>
    <w:rsid w:val="00D259EA"/>
    <w:rsid w:val="00D2738C"/>
    <w:rsid w:val="00D3091E"/>
    <w:rsid w:val="00D3239B"/>
    <w:rsid w:val="00D41A05"/>
    <w:rsid w:val="00D45042"/>
    <w:rsid w:val="00D45B43"/>
    <w:rsid w:val="00D46273"/>
    <w:rsid w:val="00D4640E"/>
    <w:rsid w:val="00D46BFF"/>
    <w:rsid w:val="00D505D5"/>
    <w:rsid w:val="00D506E2"/>
    <w:rsid w:val="00D52435"/>
    <w:rsid w:val="00D550CC"/>
    <w:rsid w:val="00D603EB"/>
    <w:rsid w:val="00D62532"/>
    <w:rsid w:val="00D670BE"/>
    <w:rsid w:val="00D74070"/>
    <w:rsid w:val="00D74FE1"/>
    <w:rsid w:val="00D77E84"/>
    <w:rsid w:val="00D81899"/>
    <w:rsid w:val="00D82932"/>
    <w:rsid w:val="00D85450"/>
    <w:rsid w:val="00D859D1"/>
    <w:rsid w:val="00D85A39"/>
    <w:rsid w:val="00D87AD6"/>
    <w:rsid w:val="00DA0AC2"/>
    <w:rsid w:val="00DA1428"/>
    <w:rsid w:val="00DA1985"/>
    <w:rsid w:val="00DA21D7"/>
    <w:rsid w:val="00DA30C3"/>
    <w:rsid w:val="00DB0328"/>
    <w:rsid w:val="00DB5782"/>
    <w:rsid w:val="00DC2712"/>
    <w:rsid w:val="00DC286E"/>
    <w:rsid w:val="00DC2C22"/>
    <w:rsid w:val="00DC47CC"/>
    <w:rsid w:val="00DC6133"/>
    <w:rsid w:val="00DD4E4E"/>
    <w:rsid w:val="00DE0780"/>
    <w:rsid w:val="00DE1325"/>
    <w:rsid w:val="00DE1705"/>
    <w:rsid w:val="00DE4771"/>
    <w:rsid w:val="00DE56D7"/>
    <w:rsid w:val="00DF4D8E"/>
    <w:rsid w:val="00DF575B"/>
    <w:rsid w:val="00E00BE6"/>
    <w:rsid w:val="00E02C58"/>
    <w:rsid w:val="00E06CAF"/>
    <w:rsid w:val="00E06CD7"/>
    <w:rsid w:val="00E10CC1"/>
    <w:rsid w:val="00E110E9"/>
    <w:rsid w:val="00E13482"/>
    <w:rsid w:val="00E155C4"/>
    <w:rsid w:val="00E306E5"/>
    <w:rsid w:val="00E32F2A"/>
    <w:rsid w:val="00E40AEA"/>
    <w:rsid w:val="00E4120E"/>
    <w:rsid w:val="00E43A31"/>
    <w:rsid w:val="00E441A0"/>
    <w:rsid w:val="00E4535A"/>
    <w:rsid w:val="00E47829"/>
    <w:rsid w:val="00E577FD"/>
    <w:rsid w:val="00E62699"/>
    <w:rsid w:val="00E64713"/>
    <w:rsid w:val="00E65AB1"/>
    <w:rsid w:val="00E727E4"/>
    <w:rsid w:val="00E746E3"/>
    <w:rsid w:val="00E75037"/>
    <w:rsid w:val="00E77524"/>
    <w:rsid w:val="00E77542"/>
    <w:rsid w:val="00E77A30"/>
    <w:rsid w:val="00E8610F"/>
    <w:rsid w:val="00E875BE"/>
    <w:rsid w:val="00E91723"/>
    <w:rsid w:val="00E9286E"/>
    <w:rsid w:val="00EA336C"/>
    <w:rsid w:val="00EB2DB3"/>
    <w:rsid w:val="00EB630E"/>
    <w:rsid w:val="00EC11EC"/>
    <w:rsid w:val="00EC6428"/>
    <w:rsid w:val="00EC72AC"/>
    <w:rsid w:val="00ED11FD"/>
    <w:rsid w:val="00ED29B6"/>
    <w:rsid w:val="00ED4F2C"/>
    <w:rsid w:val="00ED5FDC"/>
    <w:rsid w:val="00ED667A"/>
    <w:rsid w:val="00ED6EC2"/>
    <w:rsid w:val="00ED6F76"/>
    <w:rsid w:val="00EE01C2"/>
    <w:rsid w:val="00EE0535"/>
    <w:rsid w:val="00EE0B7B"/>
    <w:rsid w:val="00EE1FC2"/>
    <w:rsid w:val="00EF7670"/>
    <w:rsid w:val="00F001F3"/>
    <w:rsid w:val="00F110DF"/>
    <w:rsid w:val="00F213A6"/>
    <w:rsid w:val="00F2205C"/>
    <w:rsid w:val="00F22D54"/>
    <w:rsid w:val="00F314B9"/>
    <w:rsid w:val="00F34F26"/>
    <w:rsid w:val="00F36A65"/>
    <w:rsid w:val="00F37348"/>
    <w:rsid w:val="00F41E9A"/>
    <w:rsid w:val="00F43D11"/>
    <w:rsid w:val="00F44114"/>
    <w:rsid w:val="00F46F3B"/>
    <w:rsid w:val="00F51A75"/>
    <w:rsid w:val="00F54FE0"/>
    <w:rsid w:val="00F6074E"/>
    <w:rsid w:val="00F61F69"/>
    <w:rsid w:val="00F651AB"/>
    <w:rsid w:val="00F72C1C"/>
    <w:rsid w:val="00F737D3"/>
    <w:rsid w:val="00F754B9"/>
    <w:rsid w:val="00F879C6"/>
    <w:rsid w:val="00F93CE6"/>
    <w:rsid w:val="00FA1552"/>
    <w:rsid w:val="00FA25C4"/>
    <w:rsid w:val="00FA650F"/>
    <w:rsid w:val="00FA7B01"/>
    <w:rsid w:val="00FB238D"/>
    <w:rsid w:val="00FB340E"/>
    <w:rsid w:val="00FB3800"/>
    <w:rsid w:val="00FB61D3"/>
    <w:rsid w:val="00FC4163"/>
    <w:rsid w:val="00FC4C06"/>
    <w:rsid w:val="00FC5313"/>
    <w:rsid w:val="00FC6FE1"/>
    <w:rsid w:val="00FD0CD1"/>
    <w:rsid w:val="00FD1A9E"/>
    <w:rsid w:val="00FD4D3D"/>
    <w:rsid w:val="00FE07BB"/>
    <w:rsid w:val="00FE08DE"/>
    <w:rsid w:val="00FE351B"/>
    <w:rsid w:val="00FF70F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3EF4"/>
  <w15:chartTrackingRefBased/>
  <w15:docId w15:val="{CF6D7210-4E48-4CC0-87AE-01FEC4F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B4"/>
    <w:rPr>
      <w:lang w:val="en-US" w:bidi="he-IL"/>
    </w:rPr>
  </w:style>
  <w:style w:type="paragraph" w:styleId="Heading1">
    <w:name w:val="heading 1"/>
    <w:basedOn w:val="Normal"/>
    <w:next w:val="Normal"/>
    <w:link w:val="Heading1Char"/>
    <w:uiPriority w:val="9"/>
    <w:qFormat/>
    <w:rsid w:val="005C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117"/>
    <w:rPr>
      <w:rFonts w:eastAsiaTheme="majorEastAsia" w:cstheme="majorBidi"/>
      <w:color w:val="272727" w:themeColor="text1" w:themeTint="D8"/>
    </w:rPr>
  </w:style>
  <w:style w:type="paragraph" w:styleId="Title">
    <w:name w:val="Title"/>
    <w:basedOn w:val="Normal"/>
    <w:next w:val="Normal"/>
    <w:link w:val="TitleChar"/>
    <w:uiPriority w:val="10"/>
    <w:qFormat/>
    <w:rsid w:val="005C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117"/>
    <w:pPr>
      <w:spacing w:before="160"/>
      <w:jc w:val="center"/>
    </w:pPr>
    <w:rPr>
      <w:i/>
      <w:iCs/>
      <w:color w:val="404040" w:themeColor="text1" w:themeTint="BF"/>
    </w:rPr>
  </w:style>
  <w:style w:type="character" w:customStyle="1" w:styleId="QuoteChar">
    <w:name w:val="Quote Char"/>
    <w:basedOn w:val="DefaultParagraphFont"/>
    <w:link w:val="Quote"/>
    <w:uiPriority w:val="29"/>
    <w:rsid w:val="005C0117"/>
    <w:rPr>
      <w:i/>
      <w:iCs/>
      <w:color w:val="404040" w:themeColor="text1" w:themeTint="BF"/>
    </w:rPr>
  </w:style>
  <w:style w:type="paragraph" w:styleId="ListParagraph">
    <w:name w:val="List Paragraph"/>
    <w:basedOn w:val="Normal"/>
    <w:uiPriority w:val="34"/>
    <w:qFormat/>
    <w:rsid w:val="005C0117"/>
    <w:pPr>
      <w:ind w:left="720"/>
      <w:contextualSpacing/>
    </w:pPr>
  </w:style>
  <w:style w:type="character" w:styleId="IntenseEmphasis">
    <w:name w:val="Intense Emphasis"/>
    <w:basedOn w:val="DefaultParagraphFont"/>
    <w:uiPriority w:val="21"/>
    <w:qFormat/>
    <w:rsid w:val="005C0117"/>
    <w:rPr>
      <w:i/>
      <w:iCs/>
      <w:color w:val="0F4761" w:themeColor="accent1" w:themeShade="BF"/>
    </w:rPr>
  </w:style>
  <w:style w:type="paragraph" w:styleId="IntenseQuote">
    <w:name w:val="Intense Quote"/>
    <w:basedOn w:val="Normal"/>
    <w:next w:val="Normal"/>
    <w:link w:val="IntenseQuoteChar"/>
    <w:uiPriority w:val="30"/>
    <w:qFormat/>
    <w:rsid w:val="005C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117"/>
    <w:rPr>
      <w:i/>
      <w:iCs/>
      <w:color w:val="0F4761" w:themeColor="accent1" w:themeShade="BF"/>
    </w:rPr>
  </w:style>
  <w:style w:type="character" w:styleId="IntenseReference">
    <w:name w:val="Intense Reference"/>
    <w:basedOn w:val="DefaultParagraphFont"/>
    <w:uiPriority w:val="32"/>
    <w:qFormat/>
    <w:rsid w:val="005C0117"/>
    <w:rPr>
      <w:b/>
      <w:bCs/>
      <w:smallCaps/>
      <w:color w:val="0F4761" w:themeColor="accent1" w:themeShade="BF"/>
      <w:spacing w:val="5"/>
    </w:rPr>
  </w:style>
  <w:style w:type="paragraph" w:customStyle="1" w:styleId="Default">
    <w:name w:val="Default"/>
    <w:rsid w:val="005C0117"/>
    <w:pPr>
      <w:autoSpaceDE w:val="0"/>
      <w:autoSpaceDN w:val="0"/>
      <w:adjustRightInd w:val="0"/>
      <w:spacing w:after="0" w:line="240" w:lineRule="auto"/>
    </w:pPr>
    <w:rPr>
      <w:rFonts w:ascii="Calibri" w:eastAsiaTheme="minorEastAsia" w:hAnsi="Calibri" w:cs="Calibri"/>
      <w:color w:val="000000"/>
      <w:kern w:val="0"/>
      <w:lang w:val="en-US" w:eastAsia="el-GR" w:bidi="he-IL"/>
      <w14:ligatures w14:val="none"/>
    </w:rPr>
  </w:style>
  <w:style w:type="paragraph" w:styleId="Header">
    <w:name w:val="header"/>
    <w:basedOn w:val="Normal"/>
    <w:link w:val="HeaderChar"/>
    <w:uiPriority w:val="99"/>
    <w:unhideWhenUsed/>
    <w:rsid w:val="00171B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1B38"/>
  </w:style>
  <w:style w:type="paragraph" w:styleId="Footer">
    <w:name w:val="footer"/>
    <w:basedOn w:val="Normal"/>
    <w:link w:val="FooterChar"/>
    <w:uiPriority w:val="99"/>
    <w:unhideWhenUsed/>
    <w:rsid w:val="00171B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Mantakou</dc:creator>
  <cp:keywords/>
  <dc:description/>
  <cp:lastModifiedBy>Napoleon Liontos</cp:lastModifiedBy>
  <cp:revision>62</cp:revision>
  <dcterms:created xsi:type="dcterms:W3CDTF">2026-01-23T17:57:00Z</dcterms:created>
  <dcterms:modified xsi:type="dcterms:W3CDTF">2026-01-26T15:37:00Z</dcterms:modified>
</cp:coreProperties>
</file>